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sz w:val="36"/>
          <w:szCs w:val="36"/>
          <w:highlight w:val="none"/>
          <w:lang w:val="en-US" w:eastAsia="zh-CN"/>
        </w:rPr>
      </w:pPr>
      <w:r>
        <w:rPr>
          <w:rFonts w:hint="eastAsia" w:ascii="宋体" w:hAnsi="宋体" w:cs="宋体"/>
          <w:b/>
          <w:bCs/>
          <w:sz w:val="36"/>
          <w:szCs w:val="36"/>
          <w:highlight w:val="none"/>
          <w:lang w:val="en-US" w:eastAsia="zh-CN"/>
        </w:rPr>
        <w:t>附件：技术规格书</w:t>
      </w:r>
    </w:p>
    <w:p>
      <w:pPr>
        <w:pStyle w:val="2"/>
        <w:rPr>
          <w:rFonts w:hint="default"/>
          <w:lang w:val="en-US" w:eastAsia="zh-CN"/>
        </w:rPr>
      </w:pPr>
    </w:p>
    <w:p>
      <w:pPr>
        <w:jc w:val="center"/>
        <w:rPr>
          <w:rFonts w:ascii="宋体" w:hAnsi="宋体" w:cs="宋体"/>
          <w:b/>
          <w:bCs/>
          <w:sz w:val="36"/>
          <w:szCs w:val="36"/>
          <w:highlight w:val="none"/>
        </w:rPr>
      </w:pPr>
      <w:r>
        <w:rPr>
          <w:rFonts w:hint="eastAsia" w:ascii="宋体" w:hAnsi="宋体" w:cs="宋体"/>
          <w:b/>
          <w:bCs/>
          <w:sz w:val="36"/>
          <w:szCs w:val="36"/>
          <w:highlight w:val="none"/>
        </w:rPr>
        <w:t>陕西燃气集团工程有限公司</w:t>
      </w:r>
    </w:p>
    <w:p>
      <w:pPr>
        <w:pStyle w:val="9"/>
        <w:numPr>
          <w:ilvl w:val="0"/>
          <w:numId w:val="0"/>
        </w:numPr>
        <w:spacing w:after="0" w:line="240" w:lineRule="auto"/>
        <w:ind w:leftChars="0"/>
        <w:jc w:val="center"/>
        <w:rPr>
          <w:rFonts w:hint="eastAsia" w:ascii="宋体" w:hAnsi="宋体" w:eastAsia="宋体" w:cs="宋体"/>
          <w:b/>
          <w:bCs/>
          <w:kern w:val="2"/>
          <w:sz w:val="36"/>
          <w:szCs w:val="36"/>
          <w:lang w:val="en-US" w:eastAsia="zh-CN"/>
        </w:rPr>
      </w:pPr>
      <w:r>
        <w:rPr>
          <w:rFonts w:hint="eastAsia" w:ascii="宋体" w:hAnsi="宋体" w:eastAsia="宋体" w:cs="宋体"/>
          <w:b/>
          <w:bCs/>
          <w:kern w:val="2"/>
          <w:sz w:val="36"/>
          <w:szCs w:val="36"/>
          <w:lang w:val="en-US" w:eastAsia="zh-CN"/>
        </w:rPr>
        <w:t>咸阳市热力公司利用热电联产热网新建及</w:t>
      </w:r>
    </w:p>
    <w:p>
      <w:pPr>
        <w:pStyle w:val="9"/>
        <w:numPr>
          <w:ilvl w:val="0"/>
          <w:numId w:val="0"/>
        </w:numPr>
        <w:spacing w:after="0" w:line="240" w:lineRule="auto"/>
        <w:ind w:leftChars="0"/>
        <w:jc w:val="center"/>
        <w:rPr>
          <w:rFonts w:hint="eastAsia" w:ascii="宋体" w:hAnsi="宋体" w:cs="宋体"/>
          <w:b/>
          <w:bCs/>
          <w:kern w:val="2"/>
          <w:sz w:val="36"/>
          <w:szCs w:val="36"/>
          <w:lang w:val="en-US" w:eastAsia="zh-CN"/>
        </w:rPr>
      </w:pPr>
      <w:r>
        <w:rPr>
          <w:rFonts w:hint="eastAsia" w:ascii="宋体" w:hAnsi="宋体" w:eastAsia="宋体" w:cs="宋体"/>
          <w:b/>
          <w:bCs/>
          <w:kern w:val="2"/>
          <w:sz w:val="36"/>
          <w:szCs w:val="36"/>
          <w:lang w:val="en-US" w:eastAsia="zh-CN"/>
        </w:rPr>
        <w:t>改建项目二期工程202</w:t>
      </w:r>
      <w:r>
        <w:rPr>
          <w:rFonts w:hint="eastAsia" w:ascii="宋体" w:hAnsi="宋体" w:cs="宋体"/>
          <w:b/>
          <w:bCs/>
          <w:kern w:val="2"/>
          <w:sz w:val="36"/>
          <w:szCs w:val="36"/>
          <w:lang w:val="en-US" w:eastAsia="zh-CN"/>
        </w:rPr>
        <w:t>4</w:t>
      </w:r>
      <w:r>
        <w:rPr>
          <w:rFonts w:hint="eastAsia" w:ascii="宋体" w:hAnsi="宋体" w:eastAsia="宋体" w:cs="宋体"/>
          <w:b/>
          <w:bCs/>
          <w:kern w:val="2"/>
          <w:sz w:val="36"/>
          <w:szCs w:val="36"/>
          <w:lang w:val="en-US" w:eastAsia="zh-CN"/>
        </w:rPr>
        <w:t>年换热站</w:t>
      </w:r>
      <w:r>
        <w:rPr>
          <w:rFonts w:hint="eastAsia" w:ascii="宋体" w:hAnsi="宋体" w:cs="宋体"/>
          <w:b/>
          <w:bCs/>
          <w:kern w:val="2"/>
          <w:sz w:val="36"/>
          <w:szCs w:val="36"/>
          <w:lang w:val="en-US" w:eastAsia="zh-CN"/>
        </w:rPr>
        <w:t>换热机组</w:t>
      </w:r>
    </w:p>
    <w:p>
      <w:pPr>
        <w:pStyle w:val="9"/>
        <w:numPr>
          <w:ilvl w:val="0"/>
          <w:numId w:val="0"/>
        </w:numPr>
        <w:spacing w:after="0" w:line="240" w:lineRule="auto"/>
        <w:ind w:leftChars="0"/>
        <w:jc w:val="center"/>
        <w:rPr>
          <w:rFonts w:hint="eastAsia" w:ascii="宋体" w:hAnsi="宋体" w:eastAsia="宋体" w:cs="宋体"/>
          <w:b/>
          <w:bCs/>
          <w:sz w:val="36"/>
          <w:szCs w:val="36"/>
          <w:highlight w:val="none"/>
          <w:lang w:eastAsia="zh-CN"/>
        </w:rPr>
      </w:pPr>
      <w:r>
        <w:rPr>
          <w:rFonts w:hint="eastAsia" w:ascii="宋体" w:hAnsi="宋体" w:eastAsia="宋体" w:cs="宋体"/>
          <w:b/>
          <w:bCs/>
          <w:kern w:val="2"/>
          <w:sz w:val="36"/>
          <w:szCs w:val="36"/>
          <w:lang w:val="en-US" w:eastAsia="zh-CN"/>
        </w:rPr>
        <w:t>设备</w:t>
      </w:r>
      <w:r>
        <w:rPr>
          <w:rFonts w:hint="eastAsia" w:ascii="宋体" w:hAnsi="宋体" w:eastAsia="宋体" w:cs="宋体"/>
          <w:b/>
          <w:bCs/>
          <w:kern w:val="2"/>
          <w:sz w:val="36"/>
          <w:szCs w:val="36"/>
          <w:lang w:eastAsia="zh-CN"/>
        </w:rPr>
        <w:t>采购</w:t>
      </w:r>
      <w:r>
        <w:rPr>
          <w:rFonts w:hint="eastAsia" w:ascii="宋体" w:hAnsi="宋体" w:cs="宋体"/>
          <w:b/>
          <w:bCs/>
          <w:sz w:val="36"/>
          <w:szCs w:val="36"/>
          <w:highlight w:val="none"/>
        </w:rPr>
        <w:t>技术</w:t>
      </w:r>
      <w:r>
        <w:rPr>
          <w:rFonts w:hint="eastAsia" w:ascii="宋体" w:hAnsi="宋体" w:cs="宋体"/>
          <w:b/>
          <w:bCs/>
          <w:sz w:val="36"/>
          <w:szCs w:val="36"/>
          <w:highlight w:val="none"/>
          <w:lang w:eastAsia="zh-CN"/>
        </w:rPr>
        <w:t>规格书</w:t>
      </w:r>
    </w:p>
    <w:p>
      <w:pPr>
        <w:spacing w:line="360" w:lineRule="auto"/>
        <w:ind w:firstLine="482" w:firstLineChars="200"/>
        <w:rPr>
          <w:rFonts w:hint="eastAsia" w:ascii="宋体" w:hAnsi="宋体" w:eastAsia="宋体" w:cs="宋体"/>
          <w:b/>
          <w:bCs/>
          <w:sz w:val="24"/>
          <w:szCs w:val="24"/>
          <w:highlight w:val="none"/>
        </w:rPr>
      </w:pPr>
      <w:bookmarkStart w:id="0" w:name="_Toc29196"/>
      <w:r>
        <w:rPr>
          <w:rFonts w:hint="eastAsia" w:ascii="宋体" w:hAnsi="宋体" w:eastAsia="宋体" w:cs="宋体"/>
          <w:b/>
          <w:bCs/>
          <w:sz w:val="24"/>
          <w:szCs w:val="24"/>
          <w:highlight w:val="none"/>
        </w:rPr>
        <w:t>第一条 编制依据</w:t>
      </w:r>
      <w:bookmarkEnd w:id="0"/>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1.相关法律法规、规范、标准、图集等。</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2.项目相关图纸资料；</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3.现有场地条件</w:t>
      </w:r>
    </w:p>
    <w:p>
      <w:pPr>
        <w:spacing w:line="360" w:lineRule="auto"/>
        <w:ind w:firstLine="482" w:firstLineChars="200"/>
        <w:outlineLvl w:val="1"/>
        <w:rPr>
          <w:rFonts w:hint="eastAsia" w:ascii="宋体" w:hAnsi="宋体" w:eastAsia="宋体" w:cs="宋体"/>
          <w:b/>
          <w:bCs/>
          <w:sz w:val="24"/>
          <w:szCs w:val="24"/>
          <w:highlight w:val="none"/>
        </w:rPr>
      </w:pPr>
      <w:bookmarkStart w:id="1" w:name="_Toc26076"/>
      <w:r>
        <w:rPr>
          <w:rFonts w:hint="eastAsia" w:ascii="宋体" w:hAnsi="宋体" w:eastAsia="宋体" w:cs="宋体"/>
          <w:b/>
          <w:bCs/>
          <w:sz w:val="24"/>
          <w:szCs w:val="24"/>
          <w:highlight w:val="none"/>
        </w:rPr>
        <w:t>第二条 适用范围</w:t>
      </w:r>
      <w:bookmarkEnd w:id="1"/>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2.1本协议适用于</w:t>
      </w:r>
      <w:r>
        <w:rPr>
          <w:rFonts w:hint="eastAsia" w:ascii="宋体" w:hAnsi="宋体" w:eastAsia="宋体" w:cs="宋体"/>
          <w:sz w:val="24"/>
          <w:szCs w:val="24"/>
          <w:highlight w:val="none"/>
          <w:u w:val="single"/>
        </w:rPr>
        <w:t xml:space="preserve">  </w:t>
      </w:r>
      <w:r>
        <w:rPr>
          <w:rFonts w:hint="eastAsia" w:ascii="宋体" w:hAnsi="宋体" w:eastAsia="宋体" w:cs="宋体"/>
          <w:b/>
          <w:bCs/>
          <w:color w:val="000000"/>
          <w:sz w:val="24"/>
          <w:szCs w:val="24"/>
          <w:highlight w:val="none"/>
          <w:u w:val="single"/>
        </w:rPr>
        <w:t xml:space="preserve"> </w:t>
      </w:r>
      <w:r>
        <w:rPr>
          <w:rFonts w:hint="eastAsia" w:ascii="宋体" w:hAnsi="宋体" w:eastAsia="宋体" w:cs="宋体"/>
          <w:b w:val="0"/>
          <w:bCs w:val="0"/>
          <w:color w:val="000000"/>
          <w:sz w:val="24"/>
          <w:szCs w:val="24"/>
          <w:highlight w:val="none"/>
          <w:u w:val="single"/>
          <w:lang w:eastAsia="zh-CN"/>
        </w:rPr>
        <w:t>咸阳市热力公司利用热电联产热网新建及改建项目二期工程</w:t>
      </w:r>
      <w:r>
        <w:rPr>
          <w:rFonts w:hint="eastAsia" w:ascii="宋体" w:hAnsi="宋体" w:eastAsia="宋体" w:cs="宋体"/>
          <w:b w:val="0"/>
          <w:bCs w:val="0"/>
          <w:color w:val="000000"/>
          <w:sz w:val="24"/>
          <w:szCs w:val="24"/>
          <w:highlight w:val="none"/>
          <w:u w:val="single"/>
          <w:lang w:val="en-US" w:eastAsia="zh-CN"/>
        </w:rPr>
        <w:t>202</w:t>
      </w:r>
      <w:r>
        <w:rPr>
          <w:rFonts w:hint="eastAsia" w:ascii="宋体" w:hAnsi="宋体" w:cs="宋体"/>
          <w:b w:val="0"/>
          <w:bCs w:val="0"/>
          <w:color w:val="000000"/>
          <w:sz w:val="24"/>
          <w:szCs w:val="24"/>
          <w:highlight w:val="none"/>
          <w:u w:val="single"/>
          <w:lang w:val="en-US" w:eastAsia="zh-CN"/>
        </w:rPr>
        <w:t>4</w:t>
      </w:r>
      <w:r>
        <w:rPr>
          <w:rFonts w:hint="eastAsia" w:ascii="宋体" w:hAnsi="宋体" w:eastAsia="宋体" w:cs="宋体"/>
          <w:b w:val="0"/>
          <w:bCs w:val="0"/>
          <w:color w:val="000000"/>
          <w:sz w:val="24"/>
          <w:szCs w:val="24"/>
          <w:highlight w:val="none"/>
          <w:u w:val="single"/>
          <w:lang w:val="en-US" w:eastAsia="zh-CN"/>
        </w:rPr>
        <w:t>年</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color w:val="000000"/>
          <w:sz w:val="24"/>
          <w:szCs w:val="24"/>
          <w:highlight w:val="none"/>
        </w:rPr>
        <w:t>换热站</w:t>
      </w:r>
      <w:r>
        <w:rPr>
          <w:rFonts w:hint="eastAsia" w:ascii="宋体" w:hAnsi="宋体" w:eastAsia="宋体" w:cs="宋体"/>
          <w:color w:val="000000"/>
          <w:sz w:val="24"/>
          <w:szCs w:val="24"/>
          <w:highlight w:val="none"/>
          <w:lang w:eastAsia="zh-CN"/>
        </w:rPr>
        <w:t>换热机组</w:t>
      </w:r>
      <w:r>
        <w:rPr>
          <w:rFonts w:hint="eastAsia" w:ascii="宋体" w:hAnsi="宋体" w:eastAsia="宋体" w:cs="宋体"/>
          <w:color w:val="000000"/>
          <w:sz w:val="24"/>
          <w:szCs w:val="24"/>
          <w:highlight w:val="none"/>
          <w:lang w:val="en-US" w:eastAsia="zh-CN"/>
        </w:rPr>
        <w:t>的水-水板式换热机组、水-水（汽—水）两用板式换热机组、循环水泵、补水泵、电动调节阀、蝶阀、安全阀、止回阀、软连接、变频控制柜等装配件的技术要求</w:t>
      </w:r>
      <w:r>
        <w:rPr>
          <w:rFonts w:hint="eastAsia" w:ascii="宋体" w:hAnsi="宋体" w:eastAsia="宋体" w:cs="宋体"/>
          <w:color w:val="000000"/>
          <w:sz w:val="24"/>
          <w:szCs w:val="24"/>
          <w:highlight w:val="none"/>
        </w:rPr>
        <w:t>。</w:t>
      </w:r>
    </w:p>
    <w:p>
      <w:pPr>
        <w:spacing w:line="360" w:lineRule="auto"/>
        <w:ind w:firstLine="480" w:firstLineChars="200"/>
        <w:outlineLvl w:val="1"/>
        <w:rPr>
          <w:rFonts w:hint="eastAsia" w:ascii="宋体" w:hAnsi="宋体" w:eastAsia="宋体" w:cs="宋体"/>
          <w:b/>
          <w:bCs/>
          <w:sz w:val="24"/>
          <w:szCs w:val="24"/>
          <w:highlight w:val="none"/>
        </w:rPr>
      </w:pPr>
      <w:bookmarkStart w:id="2" w:name="_Toc23945"/>
      <w:r>
        <w:rPr>
          <w:rFonts w:hint="eastAsia" w:ascii="宋体" w:hAnsi="宋体" w:eastAsia="宋体" w:cs="宋体"/>
          <w:sz w:val="24"/>
          <w:szCs w:val="24"/>
          <w:highlight w:val="none"/>
        </w:rPr>
        <w:t>2.2总体要求</w:t>
      </w:r>
      <w:bookmarkEnd w:id="2"/>
    </w:p>
    <w:p>
      <w:pPr>
        <w:spacing w:line="360" w:lineRule="auto"/>
        <w:ind w:firstLine="480" w:firstLineChars="200"/>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2.2.1本技术协议提出的是最低限度的技术要求，并未对一切技术细节做出规定，乙方应提供符合本技术协议、招标要求和有关工业标准的优质产品，满足国家有关安全、环保等强制性标准要求。</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2.2.2因标准、规程和规范发生变化，甲乙双方都有权提出一些补充要求，具体事宜由买卖双方协商确定。</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2.2.3质量标准：严格按国家相应标准设计、制造、安装和检验，并完全能达到甲方提出的设计、安装、使用要求。本技术协议所使用的标准如遇与乙方所执行的标准发生矛盾时，按较高标准执行。</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2.2.4乙方郑重承诺对其提供的设备及附件的产品质量负全责，且所提供的设备和技术不侵犯他人的专利，如有侵权行为，由此给甲方造成的一切损失，由乙方全部承担。</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2.2.5本</w:t>
      </w:r>
      <w:r>
        <w:rPr>
          <w:rFonts w:hint="eastAsia" w:ascii="宋体" w:hAnsi="宋体" w:eastAsia="宋体" w:cs="宋体"/>
          <w:sz w:val="24"/>
          <w:szCs w:val="24"/>
          <w:highlight w:val="none"/>
          <w:lang w:eastAsia="zh-CN"/>
        </w:rPr>
        <w:t>规格</w:t>
      </w:r>
      <w:r>
        <w:rPr>
          <w:rFonts w:hint="eastAsia" w:ascii="宋体" w:hAnsi="宋体" w:eastAsia="宋体" w:cs="宋体"/>
          <w:sz w:val="24"/>
          <w:szCs w:val="24"/>
          <w:highlight w:val="none"/>
        </w:rPr>
        <w:t>书经乙方和甲方双方确认后作为订货合同的技术附件，享有与合同同等的法律效力。</w:t>
      </w:r>
    </w:p>
    <w:p>
      <w:pPr>
        <w:spacing w:line="360" w:lineRule="auto"/>
        <w:ind w:firstLine="482" w:firstLineChars="200"/>
        <w:outlineLvl w:val="0"/>
        <w:rPr>
          <w:rFonts w:hint="eastAsia" w:ascii="宋体" w:hAnsi="宋体" w:eastAsia="宋体" w:cs="宋体"/>
          <w:b/>
          <w:sz w:val="24"/>
          <w:szCs w:val="24"/>
          <w:highlight w:val="none"/>
        </w:rPr>
      </w:pPr>
      <w:bookmarkStart w:id="3" w:name="_Toc5913"/>
      <w:bookmarkStart w:id="4" w:name="_Toc433316937"/>
      <w:r>
        <w:rPr>
          <w:rFonts w:hint="eastAsia" w:ascii="宋体" w:hAnsi="宋体" w:eastAsia="宋体" w:cs="宋体"/>
          <w:b/>
          <w:sz w:val="24"/>
          <w:szCs w:val="24"/>
          <w:highlight w:val="none"/>
        </w:rPr>
        <w:t>第三条 工程概况</w:t>
      </w:r>
      <w:bookmarkEnd w:id="3"/>
      <w:bookmarkEnd w:id="4"/>
    </w:p>
    <w:p>
      <w:pPr>
        <w:spacing w:line="360" w:lineRule="auto"/>
        <w:ind w:firstLine="480" w:firstLineChars="200"/>
        <w:outlineLvl w:val="1"/>
        <w:rPr>
          <w:rFonts w:hint="eastAsia" w:ascii="宋体" w:hAnsi="宋体" w:eastAsia="宋体" w:cs="宋体"/>
          <w:sz w:val="24"/>
          <w:szCs w:val="24"/>
          <w:highlight w:val="none"/>
        </w:rPr>
      </w:pPr>
      <w:bookmarkStart w:id="5" w:name="_Toc31443"/>
      <w:bookmarkStart w:id="6" w:name="_Toc14129"/>
      <w:r>
        <w:rPr>
          <w:rFonts w:hint="eastAsia" w:ascii="宋体" w:hAnsi="宋体" w:eastAsia="宋体" w:cs="宋体"/>
          <w:sz w:val="24"/>
          <w:szCs w:val="24"/>
          <w:highlight w:val="none"/>
        </w:rPr>
        <w:t>2.1工程名称</w:t>
      </w:r>
      <w:bookmarkEnd w:id="5"/>
    </w:p>
    <w:p>
      <w:pPr>
        <w:spacing w:line="360" w:lineRule="auto"/>
        <w:ind w:firstLine="480" w:firstLineChars="200"/>
        <w:outlineLvl w:val="1"/>
        <w:rPr>
          <w:rFonts w:hint="eastAsia" w:ascii="宋体" w:hAnsi="宋体" w:eastAsia="宋体" w:cs="宋体"/>
          <w:sz w:val="24"/>
          <w:szCs w:val="24"/>
          <w:highlight w:val="none"/>
          <w:lang w:eastAsia="zh-CN"/>
        </w:rPr>
      </w:pPr>
      <w:r>
        <w:rPr>
          <w:rFonts w:hint="eastAsia" w:ascii="宋体" w:hAnsi="宋体" w:eastAsia="宋体" w:cs="宋体"/>
          <w:b w:val="0"/>
          <w:bCs w:val="0"/>
          <w:color w:val="000000"/>
          <w:sz w:val="24"/>
          <w:szCs w:val="24"/>
          <w:highlight w:val="none"/>
          <w:u w:val="single"/>
          <w:lang w:eastAsia="zh-CN"/>
        </w:rPr>
        <w:t>咸阳市热力公司利用热电联产热网新建及改建项目二期工程</w:t>
      </w:r>
      <w:r>
        <w:rPr>
          <w:rFonts w:hint="eastAsia" w:ascii="宋体" w:hAnsi="宋体" w:eastAsia="宋体" w:cs="宋体"/>
          <w:b w:val="0"/>
          <w:bCs w:val="0"/>
          <w:color w:val="000000"/>
          <w:sz w:val="24"/>
          <w:szCs w:val="24"/>
          <w:highlight w:val="none"/>
          <w:u w:val="single"/>
          <w:lang w:val="en-US" w:eastAsia="zh-CN"/>
        </w:rPr>
        <w:t>202</w:t>
      </w:r>
      <w:r>
        <w:rPr>
          <w:rFonts w:hint="eastAsia" w:ascii="宋体" w:hAnsi="宋体" w:cs="宋体"/>
          <w:b w:val="0"/>
          <w:bCs w:val="0"/>
          <w:color w:val="000000"/>
          <w:sz w:val="24"/>
          <w:szCs w:val="24"/>
          <w:highlight w:val="none"/>
          <w:u w:val="single"/>
          <w:lang w:val="en-US" w:eastAsia="zh-CN"/>
        </w:rPr>
        <w:t>4</w:t>
      </w:r>
      <w:r>
        <w:rPr>
          <w:rFonts w:hint="eastAsia" w:ascii="宋体" w:hAnsi="宋体" w:eastAsia="宋体" w:cs="宋体"/>
          <w:b w:val="0"/>
          <w:bCs w:val="0"/>
          <w:color w:val="000000"/>
          <w:sz w:val="24"/>
          <w:szCs w:val="24"/>
          <w:highlight w:val="none"/>
          <w:u w:val="single"/>
          <w:lang w:val="en-US" w:eastAsia="zh-CN"/>
        </w:rPr>
        <w:t>年</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换热站</w:t>
      </w:r>
      <w:bookmarkStart w:id="7" w:name="_Toc2002"/>
      <w:r>
        <w:rPr>
          <w:rFonts w:hint="eastAsia" w:ascii="宋体" w:hAnsi="宋体" w:eastAsia="宋体" w:cs="宋体"/>
          <w:sz w:val="24"/>
          <w:szCs w:val="24"/>
          <w:highlight w:val="none"/>
          <w:lang w:eastAsia="zh-CN"/>
        </w:rPr>
        <w:t>换热机组采购。</w:t>
      </w:r>
    </w:p>
    <w:p>
      <w:pPr>
        <w:spacing w:line="360" w:lineRule="auto"/>
        <w:ind w:firstLine="480" w:firstLineChars="200"/>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2.2项目概述</w:t>
      </w:r>
      <w:bookmarkEnd w:id="7"/>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highlight w:val="none"/>
          <w:lang w:val="en-US" w:eastAsia="zh-CN"/>
        </w:rPr>
        <w:t>项目范围包含天</w:t>
      </w:r>
      <w:r>
        <w:rPr>
          <w:rFonts w:hint="eastAsia" w:asciiTheme="minorEastAsia" w:hAnsiTheme="minorEastAsia" w:eastAsiaTheme="minorEastAsia" w:cstheme="minorEastAsia"/>
          <w:kern w:val="2"/>
          <w:sz w:val="24"/>
          <w:szCs w:val="24"/>
          <w:lang w:val="en-US" w:eastAsia="zh-CN" w:bidi="ar-SA"/>
        </w:rPr>
        <w:t>国润翠湖东区换热站、国润翠湖西区换热站、政府一号换热站、老干中心换热站、财富中心换热站、纳富特广场小区换热站、中医学院高层换热站、七厂一区换热站、政府二号换热站、中医学院多层换热站、艺龙小区换热站、</w:t>
      </w:r>
      <w:r>
        <w:rPr>
          <w:rFonts w:hint="eastAsia" w:ascii="宋体" w:hAnsi="宋体" w:eastAsia="宋体" w:cs="宋体"/>
          <w:i w:val="0"/>
          <w:iCs w:val="0"/>
          <w:color w:val="000000"/>
          <w:kern w:val="0"/>
          <w:sz w:val="24"/>
          <w:szCs w:val="24"/>
          <w:u w:val="none"/>
          <w:lang w:val="en-US" w:eastAsia="zh-CN" w:bidi="ar"/>
        </w:rPr>
        <w:t>澜花语岸换热站</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中央领域换热站</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统一广场换热站</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个项目换热站的配套换热机组。</w:t>
      </w:r>
    </w:p>
    <w:p>
      <w:pPr>
        <w:spacing w:line="360" w:lineRule="auto"/>
        <w:ind w:firstLine="482" w:firstLineChars="200"/>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第四条 规范和标准</w:t>
      </w:r>
      <w:bookmarkEnd w:id="6"/>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4.1乙方须执行本协议书所列要求、标准,本协议书中未提及的内容均应满足或优于本协议书所列的国家现行规范和标准以及企业标准。有矛盾时，按较高标准或最新版本执行。</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（1）《钢制压力容器》                   GB150-2011</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（2）《承压设备无损检测》               NB/T47013-2015</w:t>
      </w:r>
      <w:r>
        <w:rPr>
          <w:rFonts w:hint="eastAsia" w:ascii="宋体" w:hAnsi="宋体" w:eastAsia="宋体" w:cs="宋体"/>
          <w:sz w:val="24"/>
          <w:szCs w:val="24"/>
          <w:highlight w:val="none"/>
        </w:rPr>
        <w:tab/>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（3）《承压设备焊接工艺评定》           NB/T47014-2011</w:t>
      </w:r>
      <w:r>
        <w:rPr>
          <w:rFonts w:hint="eastAsia" w:ascii="宋体" w:hAnsi="宋体" w:eastAsia="宋体" w:cs="宋体"/>
          <w:sz w:val="24"/>
          <w:szCs w:val="24"/>
          <w:highlight w:val="none"/>
        </w:rPr>
        <w:tab/>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（4）《压力容器焊接规程 》              NB/T47015-2011</w:t>
      </w:r>
      <w:r>
        <w:rPr>
          <w:rFonts w:hint="eastAsia" w:ascii="宋体" w:hAnsi="宋体" w:eastAsia="宋体" w:cs="宋体"/>
          <w:sz w:val="24"/>
          <w:szCs w:val="24"/>
          <w:highlight w:val="none"/>
        </w:rPr>
        <w:tab/>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（5）《安全阀一般要求》                 GB/T12241-2005</w:t>
      </w:r>
      <w:r>
        <w:rPr>
          <w:rFonts w:hint="eastAsia" w:ascii="宋体" w:hAnsi="宋体" w:eastAsia="宋体" w:cs="宋体"/>
          <w:sz w:val="24"/>
          <w:szCs w:val="24"/>
          <w:highlight w:val="none"/>
        </w:rPr>
        <w:tab/>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（6）《钢制管法兰、垫片、紧固件》       HGT20592-2016</w:t>
      </w:r>
      <w:r>
        <w:rPr>
          <w:rFonts w:hint="eastAsia" w:ascii="宋体" w:hAnsi="宋体" w:eastAsia="宋体" w:cs="宋体"/>
          <w:sz w:val="24"/>
          <w:szCs w:val="24"/>
          <w:highlight w:val="none"/>
        </w:rPr>
        <w:tab/>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（7）《离心泵技术条件》                 GB/T5657-2014</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（8）《城镇供热用换热机组》             GB/T28185-2011</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（9）《换热器热式性能和液体阻力特性通用测定方法》JB/T 10379-2002</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（10）《低压成套开关设备和控制设备》    GB7251-2013</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（11）《输送流体用无缝钢管》            GB/T8163-2018</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（12）《通用阀门法兰连接钢制截止阀与升降止回阀》GB/T 12235-2007</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（13）《石油、化工及相关工业用钢制旋启式止回阀》GB/T12236</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（15）《法兰和对夹连接弹性密封蝶阀》    GB/T12238-2016</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（16）《弹簧直接载荷式安全阀》          GB/T12243-2005</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（17）《现场设备、工业管道焊接工程施工及验收规范》GB50236-2011</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（18）《城镇供热管网设计规范》          CJJ34-2017</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（19）《热量表》                        CJ128-2007</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（20）《工业设备及管道绝热工程设计规范》GB50264-2013</w:t>
      </w:r>
      <w:r>
        <w:rPr>
          <w:rFonts w:hint="eastAsia" w:ascii="宋体" w:hAnsi="宋体" w:eastAsia="宋体" w:cs="宋体"/>
          <w:sz w:val="24"/>
          <w:szCs w:val="24"/>
          <w:highlight w:val="none"/>
        </w:rPr>
        <w:tab/>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（21）《离心泵技术条件》（2类）         GB5656-2008</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（22）《标牌》                          GB/T13306-2011</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（23）《机电产品包装通用技术条件》      GB/T13384-2008</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（24）《六角头螺栓A级和B级》          GB/T5782-2000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（25）《Ⅰ型六角螺母》                  GB/T6170-2000</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（26）《机械设备安装工程施工及验收通用规范》GB50231-2009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（27）《工业金属管道工程施工及验收规范》GB50235-2010</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（28）《现场设备工业管道焊接工程施工及验收规范》GB50236-2011</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（29）《城镇供热管网工程施工及验收规范》CJJ28-2014</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（30）《设备及管道保温技术通则》       GBT4272-2008</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（31）《工业安装工程质量检验评定统一标准》GB50252-2010</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（32）《电气装置安装工程施工及验收规范》GB50254-2014</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（33）《自动化仪表工程施工及验收规范》GB50093-2013</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（34）《工业金属管道工程质量检验评定标准》GB501843-93</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xml:space="preserve">《工业自动化仪表盘型式及基本尺寸》 GB7353-87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（36）《电工成套装置中的指示灯和按钮颜色》 GB2682-81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（37）《电器设备接线端子和特定导线线端识别及应用字母数字系统和通则》 GB/T4026-92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（38） 《外壳防护等级（IP 代码）》 GB4208-93～IEC529（1989）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（39） 《电工电子产品环境条件》 GB4796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（40） 《电气设备抗干扰特性》 GB4890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（41） 《低压电器电控设备》 GB4720-84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（42） 《低压开关和控制设备的外壳防护等级》 TEC 144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（43） 《仪表回路图》 ISA --55.4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（44） 《工业控制设备及系统的端子板》 NEMA --ICS4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（45） 《工业控制设备及系统的外壳》NEMA --ICS6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（46） 《压力测量》 PEC19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（47） 《工业自动化仪表盘、柜、台、箱》 GB/T7353-1999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（48）《低压电器控设备》 GB 4720-84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（49） 《低压电器基本标准》 GB1497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 《工业自动化仪表工程施工及验收规范》GBJ50093</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以上标准规范若版本低于现行标准，均按现行标准执行。</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 进口设备所采用的标准：IEC、NEMA、IEEE、ASTM、ASME、ANSI等相关标准。</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4.3设备应符合相应的工业设备抗震鉴定标准。</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4.4乙方如采用上述建议以外的标准和规范，乙方有责任说明所推荐的标准和规范相当于或优于以上的要求，并提供该标准和规范。</w:t>
      </w:r>
    </w:p>
    <w:p>
      <w:pPr>
        <w:pStyle w:val="10"/>
        <w:tabs>
          <w:tab w:val="left" w:pos="1365"/>
        </w:tabs>
        <w:spacing w:before="0" w:after="0"/>
        <w:ind w:left="0" w:leftChars="0" w:right="0" w:rightChars="0" w:firstLine="480" w:firstLineChars="20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4.5从订货之日起至乙方开始投料之前的这段时间内，如果因标准、规程发生修改或变化，甲方有权提出补充要求，乙方满足并遵守这些要求。</w:t>
      </w:r>
      <w:bookmarkStart w:id="8" w:name="_Toc386544841"/>
      <w:bookmarkStart w:id="9" w:name="_Toc396747981"/>
      <w:bookmarkStart w:id="10" w:name="_Toc401070466"/>
      <w:bookmarkStart w:id="11" w:name="_Toc28319"/>
      <w:bookmarkStart w:id="12" w:name="_Toc401075520"/>
      <w:bookmarkStart w:id="13" w:name="_Toc433316938"/>
      <w:bookmarkStart w:id="14" w:name="_Toc10535"/>
      <w:bookmarkStart w:id="15" w:name="_Toc396837815"/>
    </w:p>
    <w:bookmarkEnd w:id="8"/>
    <w:bookmarkEnd w:id="9"/>
    <w:bookmarkEnd w:id="10"/>
    <w:bookmarkEnd w:id="11"/>
    <w:bookmarkEnd w:id="12"/>
    <w:bookmarkEnd w:id="13"/>
    <w:bookmarkEnd w:id="14"/>
    <w:bookmarkEnd w:id="15"/>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乙方负责换热站</w:t>
      </w:r>
      <w:r>
        <w:rPr>
          <w:rFonts w:hint="eastAsia" w:ascii="宋体" w:hAnsi="宋体" w:eastAsia="宋体" w:cs="宋体"/>
          <w:sz w:val="24"/>
          <w:szCs w:val="24"/>
          <w:highlight w:val="none"/>
          <w:lang w:eastAsia="zh-CN"/>
        </w:rPr>
        <w:t>机组</w:t>
      </w:r>
      <w:r>
        <w:rPr>
          <w:rFonts w:hint="eastAsia" w:ascii="宋体" w:hAnsi="宋体" w:eastAsia="宋体" w:cs="宋体"/>
          <w:sz w:val="24"/>
          <w:szCs w:val="24"/>
          <w:highlight w:val="none"/>
        </w:rPr>
        <w:t>设计和配套条件（含土建、电、仪）参数提供，并有责任和义务配合项目单位完成配套施工。同时乙方必须按最终审定的安装施工图进行安装施工，若因乙方设计不到位或改变施工方案引起的材料、工程量和费用的变化由乙方负责，并且不得因此拖延工期。</w:t>
      </w:r>
    </w:p>
    <w:p>
      <w:pPr>
        <w:spacing w:line="360" w:lineRule="auto"/>
        <w:ind w:firstLine="482" w:firstLineChars="200"/>
        <w:rPr>
          <w:rFonts w:hint="eastAsia" w:ascii="宋体" w:hAnsi="宋体" w:eastAsia="宋体" w:cs="宋体"/>
          <w:b/>
          <w:bCs/>
          <w:sz w:val="24"/>
          <w:szCs w:val="24"/>
          <w:highlight w:val="none"/>
        </w:rPr>
      </w:pPr>
      <w:bookmarkStart w:id="16" w:name="_Toc22620"/>
      <w:r>
        <w:rPr>
          <w:rFonts w:hint="eastAsia" w:ascii="宋体" w:hAnsi="宋体" w:eastAsia="宋体" w:cs="宋体"/>
          <w:b/>
          <w:bCs/>
          <w:sz w:val="24"/>
          <w:szCs w:val="24"/>
          <w:highlight w:val="none"/>
        </w:rPr>
        <w:t>第五条 工程范围</w:t>
      </w:r>
      <w:bookmarkEnd w:id="16"/>
    </w:p>
    <w:p>
      <w:pPr>
        <w:spacing w:line="360" w:lineRule="auto"/>
        <w:ind w:firstLine="480" w:firstLineChars="200"/>
        <w:rPr>
          <w:rFonts w:hint="eastAsia" w:ascii="宋体" w:hAnsi="宋体" w:eastAsia="宋体" w:cs="宋体"/>
          <w:sz w:val="24"/>
          <w:szCs w:val="24"/>
          <w:highlight w:val="none"/>
        </w:rPr>
      </w:pPr>
      <w:bookmarkStart w:id="17" w:name="_Toc79467666"/>
      <w:bookmarkStart w:id="18" w:name="_Toc28392"/>
      <w:r>
        <w:rPr>
          <w:rFonts w:hint="eastAsia" w:ascii="宋体" w:hAnsi="宋体" w:eastAsia="宋体" w:cs="宋体"/>
          <w:sz w:val="24"/>
          <w:szCs w:val="24"/>
          <w:highlight w:val="none"/>
        </w:rPr>
        <w:t>5.1一般要求</w:t>
      </w:r>
      <w:bookmarkEnd w:id="17"/>
      <w:bookmarkEnd w:id="18"/>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（1）服务范围包含：设备及材料供货、 调试、标识标牌、相关手续办理、日常维护基本常识培训、质保期维修等。</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3）乙方应提供设计图纸及详细供货清单，清单中依次说明型号、数量、产地、生产厂家等内容。对于属于整套设备运行和施工所必需的部件，即使本合同协议中未列出或数目不足，投标方仍须在执行合同时补足。 </w:t>
      </w:r>
    </w:p>
    <w:p>
      <w:pPr>
        <w:spacing w:line="360" w:lineRule="auto"/>
        <w:ind w:firstLine="480" w:firstLineChars="200"/>
        <w:outlineLvl w:val="1"/>
        <w:rPr>
          <w:rFonts w:hint="eastAsia" w:ascii="宋体" w:hAnsi="宋体" w:eastAsia="宋体" w:cs="宋体"/>
          <w:b/>
          <w:bCs/>
          <w:sz w:val="24"/>
          <w:szCs w:val="24"/>
          <w:highlight w:val="none"/>
        </w:rPr>
      </w:pPr>
      <w:bookmarkStart w:id="19" w:name="_Toc79467667"/>
      <w:bookmarkStart w:id="20" w:name="_Toc25722"/>
      <w:r>
        <w:rPr>
          <w:rFonts w:hint="eastAsia" w:ascii="宋体" w:hAnsi="宋体" w:eastAsia="宋体" w:cs="宋体"/>
          <w:sz w:val="24"/>
          <w:szCs w:val="24"/>
          <w:highlight w:val="none"/>
        </w:rPr>
        <w:t>5.2供货范围</w:t>
      </w:r>
      <w:bookmarkEnd w:id="19"/>
      <w:bookmarkEnd w:id="20"/>
    </w:p>
    <w:p>
      <w:pPr>
        <w:pStyle w:val="10"/>
        <w:tabs>
          <w:tab w:val="left" w:pos="1365"/>
        </w:tabs>
        <w:spacing w:before="0" w:after="0"/>
        <w:ind w:left="0" w:leftChars="0" w:right="0" w:rightChars="0" w:firstLine="480" w:firstLineChars="200"/>
        <w:rPr>
          <w:rFonts w:hint="eastAsia" w:ascii="宋体" w:hAnsi="宋体" w:eastAsia="宋体" w:cs="宋体"/>
          <w:color w:val="0000FF"/>
          <w:sz w:val="24"/>
          <w:szCs w:val="24"/>
          <w:highlight w:val="none"/>
        </w:rPr>
      </w:pPr>
      <w:r>
        <w:rPr>
          <w:rFonts w:hint="eastAsia" w:ascii="宋体" w:hAnsi="宋体" w:eastAsia="宋体" w:cs="宋体"/>
          <w:sz w:val="24"/>
          <w:szCs w:val="24"/>
          <w:highlight w:val="none"/>
          <w:lang w:val="en-US" w:eastAsia="zh-CN"/>
        </w:rPr>
        <w:t>主要包括换热站房内机组设备</w:t>
      </w:r>
      <w:r>
        <w:rPr>
          <w:rFonts w:hint="eastAsia" w:ascii="宋体" w:hAnsi="宋体" w:eastAsia="宋体" w:cs="宋体"/>
          <w:sz w:val="24"/>
          <w:szCs w:val="24"/>
          <w:highlight w:val="none"/>
        </w:rPr>
        <w:t>。</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注：1.本供货范围为最低配置，乙方应保证换热站机组成套使用的完整性；凡影响机组及监控系统安装运行的设备及部件，乙方必须按照国家标准及规范完善配置。</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2.具体按照乙方提供的二次深化设计图纸（甲方技术部门审核通过）和投标提供设备清单为主。</w:t>
      </w:r>
    </w:p>
    <w:p>
      <w:pPr>
        <w:spacing w:line="360" w:lineRule="auto"/>
        <w:ind w:firstLine="482" w:firstLineChars="200"/>
        <w:outlineLvl w:val="0"/>
        <w:rPr>
          <w:rFonts w:hint="eastAsia" w:ascii="宋体" w:hAnsi="宋体" w:eastAsia="宋体" w:cs="宋体"/>
          <w:b/>
          <w:bCs/>
          <w:sz w:val="24"/>
          <w:szCs w:val="24"/>
          <w:highlight w:val="none"/>
        </w:rPr>
      </w:pPr>
      <w:bookmarkStart w:id="21" w:name="_Toc22998"/>
      <w:r>
        <w:rPr>
          <w:rFonts w:hint="eastAsia" w:ascii="宋体" w:hAnsi="宋体" w:eastAsia="宋体" w:cs="宋体"/>
          <w:b/>
          <w:bCs/>
          <w:sz w:val="24"/>
          <w:szCs w:val="24"/>
          <w:highlight w:val="none"/>
        </w:rPr>
        <w:t>第</w:t>
      </w:r>
      <w:r>
        <w:rPr>
          <w:rFonts w:hint="eastAsia" w:ascii="宋体" w:hAnsi="宋体" w:eastAsia="宋体" w:cs="宋体"/>
          <w:b/>
          <w:bCs/>
          <w:sz w:val="24"/>
          <w:szCs w:val="24"/>
          <w:highlight w:val="none"/>
          <w:lang w:eastAsia="zh-CN"/>
        </w:rPr>
        <w:t>六</w:t>
      </w:r>
      <w:r>
        <w:rPr>
          <w:rFonts w:hint="eastAsia" w:ascii="宋体" w:hAnsi="宋体" w:eastAsia="宋体" w:cs="宋体"/>
          <w:b/>
          <w:bCs/>
          <w:sz w:val="24"/>
          <w:szCs w:val="24"/>
          <w:highlight w:val="none"/>
        </w:rPr>
        <w:t>条  技术</w:t>
      </w:r>
      <w:bookmarkStart w:id="22" w:name="_Toc79467669"/>
      <w:r>
        <w:rPr>
          <w:rFonts w:hint="eastAsia" w:ascii="宋体" w:hAnsi="宋体" w:eastAsia="宋体" w:cs="宋体"/>
          <w:b/>
          <w:bCs/>
          <w:sz w:val="24"/>
          <w:szCs w:val="24"/>
          <w:highlight w:val="none"/>
        </w:rPr>
        <w:t>要求</w:t>
      </w:r>
      <w:bookmarkEnd w:id="21"/>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 xml:space="preserve">6.1热机系统一般要求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6.1.1 换热站热机部分由管道阀门、换热器、安全阀、循环水泵、补水泵、调节阀、控制柜等组成；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6.1.2 设备基础地脚螺栓齐全且连接紧固，水泵基础和链接水泵的管道采取软连接等隔振措施，换热机组、水泵；</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6.1.3 进出换热器前的管道上均须设置压力表；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6.1.5 热力站根据小区形式分高低区供热；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6.1.6 采暖系统定压点宜设在循环水泵吸入口侧，定压值应保证管网中任何一点采暖系统不倒空、不超压；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6.2 主要设备技术要求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6.2.1 水-水板式换热器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组合式板式换热机组的选型应符合如下要求：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（1）换热站采取全自动组合换热机组，板式换热器的设计、制造检验与验收应符合条例 GB/T16409 的规定，板材应为不锈钢 316L；密封材质应为三元乙丙橡胶（或 NBR）；框架材质应为碳钢；防腐应采用环氧煤沥青漆或环氧富锌漆；压紧板应采用整体材料；板式换热器密封垫圈耐热温度 150℃；垫片宜采用非粘结式橡胶垫片；板片的材质应根据水质选取；板式换热器的换热形式宜采用逆流换热工艺。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（2）框架应可扩容增加不小于 20%的板片。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（3）板式换热器在额定工况下，计算传热系数不应小于3500W/m2·K。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（4）下端传热端差（即冷端媒介进口温度和热端媒介出口温度差）控制在 5℃左右。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（5）介质流经板式换热器的压力损失不应大于 0.04MPa。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（6）每台板式换热器应有现场铭牌，其内容应包括项目名称、型号、 设计压力、换热功率及试验压力(MPa)、设计温度(℃)、换热器换热有效面积(m2)、质量(kg)、流程组合、产品制造日期、制造厂名及出 厂编号。</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（9）板式换热器的设计、制造、检验及验收应符合 NB/T 47004.1的规定换热器应逐台进行压力试验；换热器主要受压元件用材料及焊接材料应有质量证明文件，换热器应按本标准、质量证明文件及生产企业相应标准进行验收。 </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6.2.2 水泵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（1）水泵的制造应符合 JB/T53058 的规定；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（2）循环泵和补水泵应采用变频调节方式，变频器将完成整个电机驱动系统的运行，频率范围在旋转速度的 0%-100%之内；b）循环软起、高级控制盘、PID 调节；c）用户自定义 U/F 曲线；d）内置 RFI 滤波器作为标准配置，适用于第一和第二环境；e）使用MODBUS 协议带 MODBUS RTU 通讯接口；f）对侧面散热距离无要求，可并排无间距安装；g）CE 认证要求；h）用于降低谐波的技术：双直流电抗器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（3）当水泵功率大于 90kW,或声环境要求较高时，水泵应进行隔振设计。采用分贝仪测量，昼间应小于或等于 70 dB（A）,夜间应小于或等于 67 dB（A）；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（4）循环水泵、补水泵台数不得少于两台，其中一台为备用泵；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（5）循环水泵流量-扬程（Q-H）特性曲线应选择缓降型，当泵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的流量为设计流量 70%时，扬程的不应超过设计值的 130%；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（6）换热站采用补水定压方式，补水泵的流量应为循环水泵的流量的 1～2%；补水泵的扬程不应小于补水点压力加 30～50kPa；第 12 页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（7）水泵在正常运行情况下，无故障运行不应少于 9000 h；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（8）水泵铭牌内容应包括制造厂名称、设备名称、型号、额定流量、额定扬程，额定转速、额定效率、额定功率、叶轮直径、泵的允许工作压力和额定温度、岀厂编号及日期。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（9）水泵供货时应列岀外协及外购部件的名称、数量及制造厂商，并宜附带水泵进岀口锥管及法兰。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（10）水泵应提供材料证明文件和性能试验报告。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（11）水泵的设计、制造、检验及验收应符合 GB/T 5657 的规定。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（12）水泵配套电机应符合以下要求：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1）电动机绝缘等级不低于 F 级，防护等级不低于 IP54；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2）供货方应通过 GB/T－19000（ISO9000）认证，提供有效期内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的认证证书。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3）循环水泵电机应为标准三相鼠笼异步电机，与变频器配套运行；</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4）电机转矩应能满足水泵在调速范围内的转矩要求。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（13）水泵试运行时应检查电机转向是否反转。 </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6.2.3 电动调节阀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（1）电动调节阀的选型应保证阀权度不低于 50%。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（2）阀体应耐温 140℃高温水，应耐压 1.6MPa；最大关闭压差应不小于 1.0MPa，泄漏率不大于 0.01％Kvs；阀杆、阀塞、阀座、阀塞与阀座间密封材料应为不锈钢；连接方式应为法兰连接。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（3）电动执行器应有阀位反馈、行程校验、弹簧复位、手动调节、位置指示和强制控制功能；工作电压应 24V（AC）；控制信号和反馈信号应 4～20mA；调节力量不小于 1000 N；弹簧复位时间应小于 25S；防护等级不低于 IP54。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（4）电动调节阀应具有良好的等比调节曲线，不得采用混装阀，如西门子混装阀；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（5）电动调节阀防护等级应达到 IP54；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（6）结合自控系统，电动调节阀应实现根据室外温度变化自动调节二次侧供水温度，或调节并恒温控制二次供水温度的气候补偿功能；</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（7）电调阀和自控系统应现场调试 PID 参数，保证在供热工况正常情况下，人为提高二次供水温度 2K 之后的 15min 之内，二次水温应达到目标值并趋于稳定，波幅不大于 0.5K。 </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6.2.4压力表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（1）弹簧管式一般压力表；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（2）精度等级：1.6 级；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（3）量程：最大工作压力不应超过测量上限值的 2/3；最小值第 17 页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应不低于仪表测量上限值的 1/3。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（4）同一管段上，压力在前，温度在后，孔距大于 200mm;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（5）压力表前应安装三通螺旋塞、球阀、和缓冲管。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（6）水泵出口压力应使用耐震压力表。 </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6.2.5 温度表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（1）金属温度表；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（2）精度等级：1.0；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（3）热响应时间：≦40S;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（4）防护等级：IP55;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（5）测温范围：0～150℃；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（6）保护管：管道上带保护套管，可在线拆装温度传感器，耐压 1.6Mpa；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（7）安装方式：固定外螺纹。 </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6.2.6 压力变送器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（1）智能型变送器有自诊断功能，当有故障时可以正确清晰地在智能通信终端和 LCD 上显示故障信息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（2）过程连接：导压管连接的配变送器侧连接件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（3）防护等级：IP67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（4）输出信号：4～20mA，两线制，供电 24VDC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（5）精度≤0.075％</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（6）量程比优于：100：1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（7）测量膜片：316L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（8）过程连接法兰为不锈钢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（9）非过程连接的配过程连接件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（10）带 HART 协议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（11）提供电缆密封接头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（12）技术参数：介质：130℃热水;压力传感器配不锈钢针型阀3阀组，所有现场传感器及仪表阀配四氟垫片或铜垫片。 </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6.2.7 温度变送器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（1）精度+/-0.2℃，三线制精度，A 级长期稳定性≤ 0.05%/ 年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（2）稳定性：+/-0.1℃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（3）带 PT100 铂铠装热电阻和保护管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（4）带防溅接线盒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（5）防护等级：IP66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（6）环境温度：－40～85℃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（7）提供电缆密封接头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（8）固定螺纹安装 M27*2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（9）智能型变送器，有自诊断功能，当有故障时可以正确清晰地在智能通信终端和 LCD 上显示故障信息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（10）带 HART协议</w:t>
      </w:r>
    </w:p>
    <w:p>
      <w:pPr>
        <w:pStyle w:val="10"/>
        <w:tabs>
          <w:tab w:val="left" w:pos="1365"/>
        </w:tabs>
        <w:spacing w:before="0" w:after="0"/>
        <w:ind w:left="0" w:leftChars="0" w:right="0" w:righ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6.2.8 钢管及管件</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（1）钢管质量应符合标准《输送流体用无缝钢管》GB/T8163 的要求，管材采用 20＃钢。</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（2）所采用的管件应符合标准《钢制对焊无缝管件》GB/T12459，管件选用强度等级应符合设计压力和腐蚀裕量要求。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（3）站内管道色环、介质流向、介质名称应清晰明确，站内设备标识和铭牌应清晰齐全。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（4）管道涂色应符合下表规定，且字体应醒目，标识位置应面向站内空间较大、易于观看的位置。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90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介质名称</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涂色</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管道注字名称</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注字颜色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一次热网供水</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红</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一次热网供水管路</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一次热网回水</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蓝</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一次热网回水管路</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换热站应急补水</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绿</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换热站应急补水管路</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补水泵入/出口水</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绿</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补水泵入/出口水管路</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二次热网供水</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红</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二次热网供水管路</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二次热网回水</w:t>
            </w:r>
          </w:p>
        </w:tc>
        <w:tc>
          <w:tcPr>
            <w:tcW w:w="213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蓝</w:t>
            </w:r>
          </w:p>
        </w:tc>
        <w:tc>
          <w:tcPr>
            <w:tcW w:w="2900"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二次热网回水管路</w:t>
            </w:r>
          </w:p>
        </w:tc>
        <w:tc>
          <w:tcPr>
            <w:tcW w:w="136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黑</w:t>
            </w:r>
          </w:p>
        </w:tc>
      </w:tr>
    </w:tbl>
    <w:p>
      <w:pPr>
        <w:pStyle w:val="10"/>
        <w:tabs>
          <w:tab w:val="left" w:pos="1365"/>
        </w:tabs>
        <w:spacing w:before="0" w:after="0"/>
        <w:ind w:left="0" w:leftChars="0" w:right="0" w:rightChars="0" w:firstLine="482" w:firstLineChars="200"/>
        <w:rPr>
          <w:rFonts w:hint="eastAsia" w:ascii="宋体" w:hAnsi="宋体" w:eastAsia="宋体" w:cs="宋体"/>
          <w:b/>
          <w:bCs/>
          <w:kern w:val="2"/>
          <w:sz w:val="24"/>
          <w:szCs w:val="24"/>
          <w:highlight w:val="none"/>
          <w:lang w:val="en-US" w:eastAsia="zh-CN" w:bidi="ar-SA"/>
        </w:rPr>
      </w:pPr>
    </w:p>
    <w:p>
      <w:pPr>
        <w:keepNext w:val="0"/>
        <w:keepLines w:val="0"/>
        <w:widowControl/>
        <w:suppressLineNumbers w:val="0"/>
        <w:jc w:val="left"/>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 xml:space="preserve">6.3 其他要求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（1）为了节省换热站维修和更换部件的费用，要求所供的换热机组应无故障运行至少 2 采暖季；质保期为 2 采暖季。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（2）投标方保证提供设备为全新的、先进的、成熟的、完整的和安全可靠的，且设备的技术经济性能符合本规范的要求。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（3）投标方对原材料、外购件的质量全面负责，所有设备最少有15年以上的使用寿命，要求设备表面处理有优良的耐腐蚀性，表面处理寿命不小于15 年。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（4）装置结构紧凑，管道走向及排列简洁大方，设备、管道、阀门和操作平台布置充分考虑到方便现场运行操作和检修维护的需要。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（5）电气防护等级为 IP55，现场所有的电机、仪表、接线箱、控制柜等的设计和选型均应符合该区域的和防护等级要求。 </w:t>
      </w:r>
    </w:p>
    <w:p>
      <w:pPr>
        <w:pStyle w:val="10"/>
        <w:tabs>
          <w:tab w:val="left" w:pos="1365"/>
        </w:tabs>
        <w:spacing w:before="0" w:after="0"/>
        <w:ind w:left="0" w:leftChars="0" w:right="0" w:righ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（6）配套的电气控制柜应有自动，手动操作，运行可靠。工艺质量标准应符合配电箱制作的有关要求，配管配线应符合电气施工验收规范。</w:t>
      </w:r>
    </w:p>
    <w:bookmarkEnd w:id="22"/>
    <w:p>
      <w:pPr>
        <w:pStyle w:val="10"/>
        <w:tabs>
          <w:tab w:val="left" w:pos="1365"/>
        </w:tabs>
        <w:spacing w:before="0" w:after="0"/>
        <w:ind w:left="0" w:leftChars="0" w:right="0" w:rightChars="0" w:firstLine="241" w:firstLineChars="100"/>
        <w:outlineLvl w:val="0"/>
        <w:rPr>
          <w:rFonts w:hint="eastAsia" w:ascii="宋体" w:hAnsi="宋体" w:eastAsia="宋体" w:cs="宋体"/>
          <w:b/>
          <w:bCs/>
          <w:sz w:val="24"/>
          <w:szCs w:val="24"/>
          <w:lang w:val="en-US" w:eastAsia="zh-CN"/>
        </w:rPr>
      </w:pPr>
      <w:bookmarkStart w:id="23" w:name="_Toc76959496"/>
      <w:bookmarkStart w:id="24" w:name="_Toc76960567"/>
      <w:bookmarkStart w:id="25" w:name="_Toc76984978"/>
      <w:bookmarkStart w:id="26" w:name="_Toc24520"/>
      <w:bookmarkStart w:id="27" w:name="_Toc79467679"/>
      <w:r>
        <w:rPr>
          <w:rFonts w:hint="eastAsia" w:ascii="宋体" w:hAnsi="宋体" w:eastAsia="宋体" w:cs="宋体"/>
          <w:b/>
          <w:bCs/>
          <w:sz w:val="24"/>
          <w:szCs w:val="24"/>
          <w:lang w:val="en-US" w:eastAsia="zh-CN"/>
        </w:rPr>
        <w:t>第七条 技术文件</w:t>
      </w:r>
      <w:bookmarkEnd w:id="23"/>
      <w:bookmarkEnd w:id="24"/>
      <w:bookmarkEnd w:id="25"/>
      <w:r>
        <w:rPr>
          <w:rFonts w:hint="eastAsia" w:ascii="宋体" w:hAnsi="宋体" w:eastAsia="宋体" w:cs="宋体"/>
          <w:b/>
          <w:bCs/>
          <w:sz w:val="24"/>
          <w:szCs w:val="24"/>
          <w:lang w:val="en-US" w:eastAsia="zh-CN"/>
        </w:rPr>
        <w:t>及其交付进度</w:t>
      </w:r>
      <w:bookmarkEnd w:id="26"/>
      <w:bookmarkEnd w:id="27"/>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28" w:name="_Toc18306"/>
      <w:bookmarkStart w:id="29" w:name="_Toc79467680"/>
      <w:r>
        <w:rPr>
          <w:rFonts w:hint="eastAsia" w:ascii="宋体" w:hAnsi="宋体" w:eastAsia="宋体" w:cs="宋体"/>
          <w:sz w:val="24"/>
          <w:szCs w:val="24"/>
          <w:lang w:val="en-US" w:eastAsia="zh-CN"/>
        </w:rPr>
        <w:t>7</w:t>
      </w:r>
      <w:r>
        <w:rPr>
          <w:rFonts w:hint="eastAsia" w:ascii="宋体" w:hAnsi="宋体" w:eastAsia="宋体" w:cs="宋体"/>
          <w:sz w:val="24"/>
          <w:szCs w:val="24"/>
        </w:rPr>
        <w:t>.1一般要求</w:t>
      </w:r>
      <w:bookmarkEnd w:id="28"/>
      <w:bookmarkEnd w:id="2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（1）甲方向乙方提供有关项目的资料和数据，乙方自行对施工现场和周围环境进行勘察，在签订本技术协议时必须提供换热站设计的相关文件及全套图纸。</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（2）乙方提供的资料应使用国家法定单位制即国际单位制，语言为中文，其中提供的图纸须同时提供AUTOCAD电子文本。</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（3）资料的组织结构清晰、逻辑性强，资料内容正确、准确、一致、清晰完整，满足工程要求。</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（4）乙方资料的提交应及时、充分，满足工程进度要求。在技术合同签订后1周内给出全部审查用技术资料（深度设计技术文件及安装技术文件）和全部技术资料交付进度清单，并经甲方确认。</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乙方提供的技术资料一般可分为设计技术文件，安装、调试、运行用技术文件和随机技术文件及竣工技术文件四个方面。设计技术文件应在签订技术协议前提供，安装、调试、运行用技术文件应在设备安装前提供，随机技术文件及竣工技术文件应在竣工验收前提供。乙方须满足甲方对以上四个方面技术文件提出的具体要求。对于其它没有列入合同技术资料清单的，但又是工程所必需的文件和资料，一经发现，乙方应及时免费提供。</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30" w:name="_Toc6899"/>
      <w:bookmarkStart w:id="31" w:name="_Toc79467681"/>
      <w:r>
        <w:rPr>
          <w:rFonts w:hint="eastAsia" w:ascii="宋体" w:hAnsi="宋体" w:eastAsia="宋体" w:cs="宋体"/>
          <w:sz w:val="24"/>
          <w:szCs w:val="24"/>
          <w:lang w:val="en-US" w:eastAsia="zh-CN"/>
        </w:rPr>
        <w:t>7</w:t>
      </w:r>
      <w:r>
        <w:rPr>
          <w:rFonts w:hint="eastAsia" w:ascii="宋体" w:hAnsi="宋体" w:eastAsia="宋体" w:cs="宋体"/>
          <w:sz w:val="24"/>
          <w:szCs w:val="24"/>
        </w:rPr>
        <w:t>.2提交资料要求</w:t>
      </w:r>
      <w:bookmarkEnd w:id="30"/>
      <w:bookmarkEnd w:id="31"/>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（1）乙方应按有关标准的规定，向甲方和最终用户提供完整、正确的技术资料，主要包括以下资料（含电子版）：</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◆换热机组设备的安装、使用、维护指南及手册；</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◆换热机组设备的总图及技术性能；</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设备安装图，应满足甲方运行维护人员使用：应注明外形尺寸、安装尺寸、接管位置及管径，一切工程设计单位需要的技术说明、技术数据、尺寸都应在该图上清楚、正确的表明。该图可包括平面图、正面图、侧面图、剖面图。</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◆换热器的性能测试报告；</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◆水泵及配套电动机的性能测试报告及性能曲线；</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◆换热机组的测试报告；</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◆换热机组设计选型计算书；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◆换热机组的工艺流程图；</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◆换热机组主要部件选型计算及技术性能；</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◆换热机组监测仪表、自动控制配置及说明；</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◆换热机组控制仪表、控制柜及控制柜内元器件等设备的合格证书；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◆换热机组控制柜、远传柜内点表、配置清单、回路图、接线图；</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◆换热机组控制柜、远传柜逻辑图和组态软件；</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◆换热机组及各部件、零件的合格证书；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◆换热机组部件、零件清单；</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◆换热机组专用工具清单。</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（2）乙方在合同技术协议签定后，1周内向甲方提交供审查用技术文件（深度设计技术文件及安装技术文件）。最终图纸注明定货合同号并有明显的最终版标记。提供文件的份数为每台机组 2 套，同时提供给甲方电子文件一份(以U盘或光盘形式提供作为原始资料保存)。</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（3）乙方所供安装、调试、运行用技术文件和随机提供的技术文件为每台机组 2套，至少应包括下列技术文件(但不限于此)：</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◆设备运行维护手册</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◆各部件或设备的使用说明</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◆各部件或设备的规范表</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◆各部件或设备的调试试验规程</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◆各部件或设备的质量检验书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◆各部件或设备主要用材的质量检验书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◆安装要求及安装质量标准</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◆设备设计说明</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◆备品备件及专用工具一览表</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◆安装总装配图和部件组装图</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◆设备基础和电气、控制接口资料</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◆技术参数表</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◆系统设备、仪表清册</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◆控制柜柜内柜外元件布置图、端子排出线图、接线图</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◆控制原理图、元件清单（型号规格参数及厂家）</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◆所有仪表的样本</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◆系统设计参数设定值、保护定值</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◆电源分配图及要求</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◆仪表流程图</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◆设备、仪表说明书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◆设备区域的总体布置图及设备总体布置安装图</w:t>
      </w:r>
      <w:bookmarkStart w:id="32" w:name="_Hlt3864183"/>
      <w:bookmarkEnd w:id="32"/>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◆调试方案、调试记录、安装记录、调试报告</w:t>
      </w:r>
    </w:p>
    <w:p>
      <w:pPr>
        <w:pStyle w:val="10"/>
        <w:tabs>
          <w:tab w:val="left" w:pos="1365"/>
        </w:tabs>
        <w:spacing w:before="0" w:after="0"/>
        <w:ind w:left="0" w:leftChars="0" w:right="0" w:rightChars="0" w:firstLine="482" w:firstLineChars="200"/>
        <w:outlineLvl w:val="0"/>
        <w:rPr>
          <w:rFonts w:hint="eastAsia" w:ascii="宋体" w:hAnsi="宋体" w:eastAsia="宋体" w:cs="宋体"/>
          <w:b/>
          <w:bCs/>
          <w:sz w:val="24"/>
          <w:szCs w:val="24"/>
        </w:rPr>
      </w:pPr>
      <w:bookmarkStart w:id="33" w:name="_Toc20214"/>
      <w:r>
        <w:rPr>
          <w:rFonts w:hint="eastAsia" w:ascii="宋体" w:hAnsi="宋体" w:eastAsia="宋体" w:cs="宋体"/>
          <w:b/>
          <w:bCs/>
          <w:sz w:val="24"/>
          <w:szCs w:val="24"/>
        </w:rPr>
        <w:t>第</w:t>
      </w:r>
      <w:r>
        <w:rPr>
          <w:rFonts w:hint="eastAsia" w:ascii="宋体" w:hAnsi="宋体" w:eastAsia="宋体" w:cs="宋体"/>
          <w:b/>
          <w:bCs/>
          <w:sz w:val="24"/>
          <w:szCs w:val="24"/>
          <w:lang w:eastAsia="zh-CN"/>
        </w:rPr>
        <w:t>八</w:t>
      </w:r>
      <w:r>
        <w:rPr>
          <w:rFonts w:hint="eastAsia" w:ascii="宋体" w:hAnsi="宋体" w:eastAsia="宋体" w:cs="宋体"/>
          <w:b/>
          <w:bCs/>
          <w:sz w:val="24"/>
          <w:szCs w:val="24"/>
        </w:rPr>
        <w:t>条 质量保证</w:t>
      </w:r>
      <w:bookmarkEnd w:id="33"/>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34" w:name="_Toc32088"/>
      <w:bookmarkStart w:id="35" w:name="_Toc76960564"/>
      <w:bookmarkStart w:id="36" w:name="_Toc76959493"/>
      <w:bookmarkStart w:id="37" w:name="_Toc76984975"/>
      <w:bookmarkStart w:id="38" w:name="_Toc79467675"/>
      <w:r>
        <w:rPr>
          <w:rFonts w:hint="eastAsia" w:ascii="宋体" w:hAnsi="宋体" w:eastAsia="宋体" w:cs="宋体"/>
          <w:sz w:val="24"/>
          <w:szCs w:val="24"/>
          <w:lang w:val="en-US" w:eastAsia="zh-CN"/>
        </w:rPr>
        <w:t>8</w:t>
      </w:r>
      <w:r>
        <w:rPr>
          <w:rFonts w:hint="eastAsia" w:ascii="宋体" w:hAnsi="宋体" w:eastAsia="宋体" w:cs="宋体"/>
          <w:sz w:val="24"/>
          <w:szCs w:val="24"/>
        </w:rPr>
        <w:t>.1质量保证</w:t>
      </w:r>
      <w:bookmarkEnd w:id="34"/>
      <w:bookmarkEnd w:id="35"/>
      <w:bookmarkEnd w:id="36"/>
      <w:bookmarkEnd w:id="37"/>
      <w:bookmarkEnd w:id="38"/>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（1）乙方应对所提供系统的安全可靠运行负全部责任。</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（2）乙方所提供的设备及主要零部件均应按技术文件要求进行功能检查和试验，以保证设计和结构满足本规范要求。</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（3）所采用的各种零部件及技术措施，先进可靠、质量优良、运行稳定、操作方便，不采用淘汰产品。</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（4）甲方如发现乙方所提供的设备和材料低于合同规定的标准时，有权要求承包方进行更换，费用由乙方负责。</w:t>
      </w:r>
    </w:p>
    <w:p>
      <w:pPr>
        <w:tabs>
          <w:tab w:val="left" w:pos="90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（5）对提供的设备及主要易损件的保证指标及机械保证期负责。如果运行一年中达不到技术要求、故障率又高，承包方随时无条件的采取补救措施或进行更换。</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（6）设备连续运转时间保证值9000小时，</w:t>
      </w:r>
      <w:r>
        <w:rPr>
          <w:rFonts w:hint="eastAsia" w:ascii="宋体" w:hAnsi="宋体" w:eastAsia="宋体" w:cs="宋体"/>
          <w:color w:val="000000"/>
          <w:sz w:val="24"/>
          <w:szCs w:val="24"/>
        </w:rPr>
        <w:t>静设备最少有20年的使用寿命，钢制设备防腐保证20年使用寿命，</w:t>
      </w:r>
      <w:r>
        <w:rPr>
          <w:rFonts w:hint="eastAsia" w:ascii="宋体" w:hAnsi="宋体" w:eastAsia="宋体" w:cs="宋体"/>
          <w:sz w:val="24"/>
          <w:szCs w:val="24"/>
        </w:rPr>
        <w:t>系统保证40%～110%负荷运行。</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（7）配套的电动机应符合“IEC”标准。要求电动机绝缘等级为F级，防护等级为IP54。</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（8）所有设备整机无故障连续运行时间不少于3年,并负责质保期内的板换清洗。</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（9）乙方应严格遵照GB/T－19000设计、开发、生产、安装和服务的质量保证模式及ISO9001质量保证体系。</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（10）乙方应提出施工现场安装注意事项及安装质量保证方法。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（11）乙方提供的质量保证文件至少应该包括：产品检验合格证书（包括主要外购件的合格证书)、材料检验合格证书。</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39" w:name="_Toc21150"/>
      <w:bookmarkStart w:id="40" w:name="_Toc79467677"/>
      <w:r>
        <w:rPr>
          <w:rFonts w:hint="eastAsia" w:ascii="宋体" w:hAnsi="宋体" w:eastAsia="宋体" w:cs="宋体"/>
          <w:sz w:val="24"/>
          <w:szCs w:val="24"/>
          <w:lang w:val="en-US" w:eastAsia="zh-CN"/>
        </w:rPr>
        <w:t>8</w:t>
      </w:r>
      <w:r>
        <w:rPr>
          <w:rFonts w:hint="eastAsia" w:ascii="宋体" w:hAnsi="宋体" w:eastAsia="宋体" w:cs="宋体"/>
          <w:sz w:val="24"/>
          <w:szCs w:val="24"/>
        </w:rPr>
        <w:t>.2</w:t>
      </w:r>
      <w:bookmarkStart w:id="41" w:name="_Toc369015128"/>
      <w:bookmarkStart w:id="42" w:name="_Toc401070541"/>
      <w:bookmarkStart w:id="43" w:name="_Toc396748012"/>
      <w:bookmarkStart w:id="44" w:name="_Toc370382412"/>
      <w:bookmarkStart w:id="45" w:name="_Toc396837846"/>
      <w:bookmarkStart w:id="46" w:name="_Toc386544872"/>
      <w:bookmarkStart w:id="47" w:name="_Toc14339"/>
      <w:bookmarkStart w:id="48" w:name="_Toc433316955"/>
      <w:bookmarkStart w:id="49" w:name="_Toc401075596"/>
      <w:r>
        <w:rPr>
          <w:rFonts w:hint="eastAsia" w:ascii="宋体" w:hAnsi="宋体" w:eastAsia="宋体" w:cs="宋体"/>
          <w:sz w:val="24"/>
          <w:szCs w:val="24"/>
        </w:rPr>
        <w:t>开箱检验</w:t>
      </w:r>
      <w:bookmarkEnd w:id="39"/>
      <w:bookmarkEnd w:id="41"/>
      <w:bookmarkEnd w:id="42"/>
      <w:bookmarkEnd w:id="43"/>
      <w:bookmarkEnd w:id="44"/>
      <w:bookmarkEnd w:id="45"/>
      <w:bookmarkEnd w:id="46"/>
      <w:bookmarkEnd w:id="47"/>
      <w:bookmarkEnd w:id="48"/>
      <w:bookmarkEnd w:id="49"/>
    </w:p>
    <w:p>
      <w:pPr>
        <w:spacing w:line="360" w:lineRule="auto"/>
        <w:ind w:firstLine="480" w:firstLineChars="200"/>
        <w:rPr>
          <w:rFonts w:hint="eastAsia" w:ascii="宋体" w:hAnsi="宋体" w:eastAsia="宋体" w:cs="宋体"/>
          <w:sz w:val="24"/>
          <w:szCs w:val="24"/>
        </w:rPr>
      </w:pPr>
      <w:bookmarkStart w:id="50" w:name="_Toc370128623"/>
      <w:bookmarkStart w:id="51" w:name="_Toc370126160"/>
      <w:r>
        <w:rPr>
          <w:rFonts w:hint="eastAsia" w:ascii="宋体" w:hAnsi="宋体" w:eastAsia="宋体" w:cs="宋体"/>
          <w:sz w:val="24"/>
          <w:szCs w:val="24"/>
        </w:rPr>
        <w:t>（1）设备运抵现场后，乙方通知甲方和监理单位，三方人员在一定时间内到达现场进行开箱检验，确保设备和材料满足甲方的设计要求，并得到甲方签字后，方可认可。</w:t>
      </w:r>
      <w:bookmarkEnd w:id="50"/>
      <w:bookmarkEnd w:id="51"/>
    </w:p>
    <w:p>
      <w:pPr>
        <w:spacing w:line="360" w:lineRule="auto"/>
        <w:ind w:firstLine="480" w:firstLineChars="200"/>
        <w:rPr>
          <w:rFonts w:hint="eastAsia" w:ascii="宋体" w:hAnsi="宋体" w:eastAsia="宋体" w:cs="宋体"/>
          <w:sz w:val="24"/>
          <w:szCs w:val="24"/>
        </w:rPr>
      </w:pPr>
      <w:bookmarkStart w:id="52" w:name="_Toc370128624"/>
      <w:bookmarkStart w:id="53" w:name="_Toc370126161"/>
      <w:r>
        <w:rPr>
          <w:rFonts w:hint="eastAsia" w:ascii="宋体" w:hAnsi="宋体" w:eastAsia="宋体" w:cs="宋体"/>
          <w:sz w:val="24"/>
          <w:szCs w:val="24"/>
        </w:rPr>
        <w:t>（2）如果乙方在规定的时间内未能到达现场，又未同甲方协商到达工地时间，则甲方可根据工程进度需要，自行开箱检验，如发现设备、部件与装箱单不符等情况，由乙方承担责任。</w:t>
      </w:r>
      <w:bookmarkEnd w:id="52"/>
      <w:bookmarkEnd w:id="53"/>
    </w:p>
    <w:p>
      <w:pPr>
        <w:spacing w:line="360" w:lineRule="auto"/>
        <w:ind w:firstLine="480" w:firstLineChars="200"/>
        <w:rPr>
          <w:rFonts w:hint="eastAsia" w:ascii="宋体" w:hAnsi="宋体" w:eastAsia="宋体" w:cs="宋体"/>
          <w:sz w:val="24"/>
          <w:szCs w:val="24"/>
        </w:rPr>
      </w:pPr>
      <w:bookmarkStart w:id="54" w:name="_Toc370126162"/>
      <w:bookmarkStart w:id="55" w:name="_Toc370128625"/>
      <w:r>
        <w:rPr>
          <w:rFonts w:hint="eastAsia" w:ascii="宋体" w:hAnsi="宋体" w:eastAsia="宋体" w:cs="宋体"/>
          <w:sz w:val="24"/>
          <w:szCs w:val="24"/>
        </w:rPr>
        <w:t>（3）如果甲方不通知乙方和监理单位，擅自开箱检验，则发生的一切后果，由甲自己承担。</w:t>
      </w:r>
      <w:bookmarkEnd w:id="54"/>
      <w:bookmarkEnd w:id="55"/>
    </w:p>
    <w:p>
      <w:pPr>
        <w:spacing w:line="360" w:lineRule="auto"/>
        <w:ind w:firstLine="480" w:firstLineChars="200"/>
        <w:rPr>
          <w:rFonts w:hint="eastAsia" w:ascii="宋体" w:hAnsi="宋体" w:eastAsia="宋体" w:cs="宋体"/>
          <w:sz w:val="24"/>
          <w:szCs w:val="24"/>
        </w:rPr>
      </w:pPr>
      <w:bookmarkStart w:id="56" w:name="_Toc370128626"/>
      <w:bookmarkStart w:id="57" w:name="_Toc370126163"/>
      <w:r>
        <w:rPr>
          <w:rFonts w:hint="eastAsia" w:ascii="宋体" w:hAnsi="宋体" w:eastAsia="宋体" w:cs="宋体"/>
          <w:sz w:val="24"/>
          <w:szCs w:val="24"/>
        </w:rPr>
        <w:t>（4）开箱检验后，乙方自行妥善保管，由于乙方未妥善保管，造成的零部件遗失和设备的损坏，由乙方负责。</w:t>
      </w:r>
      <w:bookmarkEnd w:id="56"/>
      <w:bookmarkEnd w:id="57"/>
    </w:p>
    <w:bookmarkEnd w:id="40"/>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58" w:name="_Toc12921"/>
      <w:r>
        <w:rPr>
          <w:rFonts w:hint="eastAsia" w:ascii="宋体" w:hAnsi="宋体" w:eastAsia="宋体" w:cs="宋体"/>
          <w:sz w:val="24"/>
          <w:szCs w:val="24"/>
          <w:lang w:val="en-US" w:eastAsia="zh-CN"/>
        </w:rPr>
        <w:t>8</w:t>
      </w:r>
      <w:r>
        <w:rPr>
          <w:rFonts w:hint="eastAsia" w:ascii="宋体" w:hAnsi="宋体" w:eastAsia="宋体" w:cs="宋体"/>
          <w:sz w:val="24"/>
          <w:szCs w:val="24"/>
        </w:rPr>
        <w:t>.3安装施工</w:t>
      </w:r>
      <w:bookmarkEnd w:id="58"/>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（1）按照甲方确认的施工图纸（乙方设计）、施工说明、本招标书要求以及国标和相关规范要求进行施工；并严格遵守甲方安全、生产和建设的相关具体规定。</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（2）乙方负责提供换热站设备、管道及相关辅助设施及安装，安装材料以标书为准，并满足图纸要求，同时必须保证施工工期，完工后负责余料和垃圾的清运。</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（3）各类设备管道及元件的安装、配管、吊装、焊接、组对、找正、无损检测（根据施工要求确定）、试压等作业应严格按照国家标准及规范进行</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（4）为保证施工质量和使用寿命，全部碳钢管道按规定要求用氩弧焊打底焊接。</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（5）乙方按照国家相关标准及要求办理阀门校验报告，校验合格后方可使用，同时出具签字盖章的正规打压记录。</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（6）施工完毕，承包方必须保证系统达到开车备用状态。</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（7）乙方在施工过程中由甲方现场人员及监理人员进行现场检查、监理和监督，乙方应严格服从甲方及监理方的管理。</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（8）由乙方负责质量管理，施工质量符合各管段的工艺要求及相应的国家标准，由甲方负责质量验收，所有施工质量达到甲方相关规定要求。</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（9）所需各种材料进入现场，必须出具出厂合格证及出厂检验报告，产品到场后必须做复试检验，复试报告合格。</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59" w:name="_Toc76960574"/>
      <w:bookmarkStart w:id="60" w:name="_Toc76959503"/>
      <w:bookmarkStart w:id="61" w:name="_Toc76984985"/>
      <w:bookmarkStart w:id="62" w:name="_Toc79467690"/>
      <w:bookmarkStart w:id="63" w:name="_Toc12559"/>
      <w:bookmarkStart w:id="64" w:name="_Toc41554036"/>
      <w:bookmarkStart w:id="65" w:name="_Toc27102"/>
      <w:bookmarkStart w:id="66" w:name="_Toc41483684"/>
      <w:r>
        <w:rPr>
          <w:rFonts w:hint="eastAsia" w:ascii="宋体" w:hAnsi="宋体" w:eastAsia="宋体" w:cs="宋体"/>
          <w:sz w:val="24"/>
          <w:szCs w:val="24"/>
          <w:lang w:val="en-US" w:eastAsia="zh-CN"/>
        </w:rPr>
        <w:t>8</w:t>
      </w:r>
      <w:r>
        <w:rPr>
          <w:rFonts w:hint="eastAsia" w:ascii="宋体" w:hAnsi="宋体" w:eastAsia="宋体" w:cs="宋体"/>
          <w:sz w:val="24"/>
          <w:szCs w:val="24"/>
        </w:rPr>
        <w:t>.4现场技术服务</w:t>
      </w:r>
      <w:bookmarkEnd w:id="59"/>
      <w:bookmarkEnd w:id="60"/>
      <w:bookmarkEnd w:id="61"/>
      <w:r>
        <w:rPr>
          <w:rFonts w:hint="eastAsia" w:ascii="宋体" w:hAnsi="宋体" w:eastAsia="宋体" w:cs="宋体"/>
          <w:sz w:val="24"/>
          <w:szCs w:val="24"/>
        </w:rPr>
        <w:t>和培训</w:t>
      </w:r>
      <w:bookmarkEnd w:id="62"/>
      <w:bookmarkEnd w:id="63"/>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（1）乙方现场服务人员的目的是使所供设备安全、正常投运。如果此人月数不能满足工程需要，乙方要追加人月数，但甲方无须为此支付任何额外费用。</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（2）乙方现场服务人员应具有下列资格：</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◆遵守法纪，遵守现场的各项规章和制度；</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◆有较强的责任感和事业心，按时到位；</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◆了解合同设备的设计，熟悉其结构，有相同或相近机组的现场工作经验，能够正确地进行现场指导；</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◆身体健康，适应现场工作的条件；</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◆乙方须更换甲方认为不合格的乙方现场服务人员。</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（3）乙方现场服务人员的职责</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◆乙方现场服务人员的任务主要包括设备催交、货物的开箱检验、设备质量问题的处理、指导安装和调试、参加试运和性能验收试验。</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◆在安装和调试前，乙方技术服务人员应向甲方进行技术交底，讲解和示范将要进行的程序和方法。经甲方确认和签证的工序如因乙方技术服务人员指导错误而发生问题，乙方负全部责任。</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乙方现场服务人员应有全权处理现场出现的一切技术和商务问题。如现场发生质量问题，乙方现场人员要在甲方规定的时间内处理解决。如乙方委托甲方进行处理，乙方现场服务人员要出委托书并承担相应的经济责任。</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◆乙方对其现场服务人员的一切行为负全部责任。</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◆乙方现场服务人员的正常来去和更换应事先与甲方协商。</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67" w:name="_Toc76959497"/>
      <w:bookmarkStart w:id="68" w:name="_Toc79467682"/>
      <w:bookmarkStart w:id="69" w:name="_Toc76984979"/>
      <w:bookmarkStart w:id="70" w:name="_Toc25416"/>
      <w:bookmarkStart w:id="71" w:name="_Toc76960568"/>
      <w:r>
        <w:rPr>
          <w:rFonts w:hint="eastAsia" w:ascii="宋体" w:hAnsi="宋体" w:eastAsia="宋体" w:cs="宋体"/>
          <w:sz w:val="24"/>
          <w:szCs w:val="24"/>
        </w:rPr>
        <w:t>7.5备品备件和专用工具</w:t>
      </w:r>
      <w:bookmarkEnd w:id="67"/>
      <w:bookmarkEnd w:id="68"/>
      <w:bookmarkEnd w:id="69"/>
      <w:bookmarkEnd w:id="70"/>
      <w:bookmarkEnd w:id="71"/>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（1）备品备件和专用工具系指不附加费用的、用于日常更换和维修用的备品备件（系统商业运行1年易损坏部分的）和专用工具。</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（2）乙方应根据其使用寿命和使用频率考虑一定的余量。每项工具均需附有必要的说明。</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（3）备品备件和专用工具一览表</w:t>
      </w:r>
    </w:p>
    <w:tbl>
      <w:tblPr>
        <w:tblStyle w:val="6"/>
        <w:tblW w:w="87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4"/>
        <w:gridCol w:w="3317"/>
        <w:gridCol w:w="1316"/>
        <w:gridCol w:w="1350"/>
        <w:gridCol w:w="1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3317"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备件、专用工具名称及规范</w:t>
            </w:r>
          </w:p>
        </w:tc>
        <w:tc>
          <w:tcPr>
            <w:tcW w:w="1316"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数 量</w:t>
            </w:r>
          </w:p>
        </w:tc>
        <w:tc>
          <w:tcPr>
            <w:tcW w:w="1350"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单 价</w:t>
            </w:r>
          </w:p>
        </w:tc>
        <w:tc>
          <w:tcPr>
            <w:tcW w:w="1900"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3317"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压力表</w:t>
            </w:r>
          </w:p>
        </w:tc>
        <w:tc>
          <w:tcPr>
            <w:tcW w:w="1316" w:type="dxa"/>
            <w:noWrap/>
            <w:vAlign w:val="center"/>
          </w:tcPr>
          <w:p>
            <w:pPr>
              <w:pStyle w:val="4"/>
              <w:spacing w:line="360" w:lineRule="auto"/>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各4个</w:t>
            </w:r>
          </w:p>
        </w:tc>
        <w:tc>
          <w:tcPr>
            <w:tcW w:w="1350"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免费</w:t>
            </w:r>
          </w:p>
        </w:tc>
        <w:tc>
          <w:tcPr>
            <w:tcW w:w="1900" w:type="dxa"/>
            <w:vMerge w:val="restart"/>
            <w:noWrap/>
            <w:vAlign w:val="center"/>
          </w:tcPr>
          <w:p>
            <w:pPr>
              <w:pStyle w:val="4"/>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包含在总价内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p>
        </w:tc>
        <w:tc>
          <w:tcPr>
            <w:tcW w:w="3317"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温度表</w:t>
            </w:r>
          </w:p>
        </w:tc>
        <w:tc>
          <w:tcPr>
            <w:tcW w:w="1316" w:type="dxa"/>
            <w:noWrap/>
            <w:vAlign w:val="center"/>
          </w:tcPr>
          <w:p>
            <w:pPr>
              <w:pStyle w:val="4"/>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各4个</w:t>
            </w:r>
          </w:p>
        </w:tc>
        <w:tc>
          <w:tcPr>
            <w:tcW w:w="1350"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免费</w:t>
            </w:r>
          </w:p>
        </w:tc>
        <w:tc>
          <w:tcPr>
            <w:tcW w:w="1900" w:type="dxa"/>
            <w:vMerge w:val="continue"/>
            <w:noWrap/>
            <w:vAlign w:val="center"/>
          </w:tcPr>
          <w:p>
            <w:pPr>
              <w:pStyle w:val="4"/>
              <w:spacing w:line="360" w:lineRule="auto"/>
              <w:jc w:val="center"/>
              <w:rPr>
                <w:rFonts w:hint="eastAsia" w:ascii="宋体" w:hAnsi="宋体" w:eastAsia="宋体" w:cs="宋体"/>
                <w:b w:val="0"/>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w:t>
            </w:r>
          </w:p>
        </w:tc>
        <w:tc>
          <w:tcPr>
            <w:tcW w:w="3317"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各种</w:t>
            </w:r>
            <w:r>
              <w:rPr>
                <w:rFonts w:hint="eastAsia" w:ascii="宋体" w:hAnsi="宋体" w:eastAsia="宋体" w:cs="宋体"/>
                <w:b w:val="0"/>
                <w:bCs/>
                <w:sz w:val="24"/>
                <w:szCs w:val="24"/>
              </w:rPr>
              <w:t>循环泵机封</w:t>
            </w:r>
          </w:p>
        </w:tc>
        <w:tc>
          <w:tcPr>
            <w:tcW w:w="1316" w:type="dxa"/>
            <w:noWrap/>
            <w:vAlign w:val="center"/>
          </w:tcPr>
          <w:p>
            <w:pPr>
              <w:pStyle w:val="4"/>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各4套</w:t>
            </w:r>
          </w:p>
        </w:tc>
        <w:tc>
          <w:tcPr>
            <w:tcW w:w="1350"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免费</w:t>
            </w:r>
          </w:p>
        </w:tc>
        <w:tc>
          <w:tcPr>
            <w:tcW w:w="1900" w:type="dxa"/>
            <w:vMerge w:val="continue"/>
            <w:noWrap/>
            <w:vAlign w:val="center"/>
          </w:tcPr>
          <w:p>
            <w:pPr>
              <w:pStyle w:val="4"/>
              <w:spacing w:line="360" w:lineRule="auto"/>
              <w:jc w:val="center"/>
              <w:rPr>
                <w:rFonts w:hint="eastAsia" w:ascii="宋体" w:hAnsi="宋体" w:eastAsia="宋体" w:cs="宋体"/>
                <w:b w:val="0"/>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4</w:t>
            </w:r>
          </w:p>
        </w:tc>
        <w:tc>
          <w:tcPr>
            <w:tcW w:w="3317"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专用工具</w:t>
            </w:r>
          </w:p>
        </w:tc>
        <w:tc>
          <w:tcPr>
            <w:tcW w:w="1316"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4套</w:t>
            </w:r>
          </w:p>
        </w:tc>
        <w:tc>
          <w:tcPr>
            <w:tcW w:w="1350"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免费</w:t>
            </w:r>
          </w:p>
        </w:tc>
        <w:tc>
          <w:tcPr>
            <w:tcW w:w="1900" w:type="dxa"/>
            <w:vMerge w:val="continue"/>
            <w:noWrap/>
            <w:vAlign w:val="center"/>
          </w:tcPr>
          <w:p>
            <w:pPr>
              <w:pStyle w:val="4"/>
              <w:spacing w:line="360" w:lineRule="auto"/>
              <w:jc w:val="center"/>
              <w:rPr>
                <w:rFonts w:hint="eastAsia" w:ascii="宋体" w:hAnsi="宋体" w:eastAsia="宋体" w:cs="宋体"/>
                <w:b w:val="0"/>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w:t>
            </w:r>
          </w:p>
        </w:tc>
        <w:tc>
          <w:tcPr>
            <w:tcW w:w="3317"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各种</w:t>
            </w:r>
            <w:r>
              <w:rPr>
                <w:rFonts w:hint="eastAsia" w:ascii="宋体" w:hAnsi="宋体" w:eastAsia="宋体" w:cs="宋体"/>
                <w:b w:val="0"/>
                <w:bCs/>
                <w:sz w:val="24"/>
                <w:szCs w:val="24"/>
              </w:rPr>
              <w:t>换热板片</w:t>
            </w:r>
          </w:p>
        </w:tc>
        <w:tc>
          <w:tcPr>
            <w:tcW w:w="1316"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各5</w:t>
            </w:r>
            <w:r>
              <w:rPr>
                <w:rFonts w:hint="eastAsia" w:ascii="宋体" w:hAnsi="宋体" w:eastAsia="宋体" w:cs="宋体"/>
                <w:b w:val="0"/>
                <w:bCs/>
                <w:sz w:val="24"/>
                <w:szCs w:val="24"/>
              </w:rPr>
              <w:t>片</w:t>
            </w:r>
          </w:p>
        </w:tc>
        <w:tc>
          <w:tcPr>
            <w:tcW w:w="1350" w:type="dxa"/>
            <w:noWrap/>
            <w:vAlign w:val="center"/>
          </w:tcPr>
          <w:p>
            <w:pPr>
              <w:pStyle w:val="4"/>
              <w:spacing w:line="360" w:lineRule="auto"/>
              <w:jc w:val="center"/>
              <w:rPr>
                <w:rFonts w:hint="eastAsia" w:ascii="宋体" w:hAnsi="宋体" w:eastAsia="宋体" w:cs="宋体"/>
                <w:b w:val="0"/>
                <w:bCs/>
                <w:sz w:val="24"/>
                <w:szCs w:val="24"/>
              </w:rPr>
            </w:pPr>
          </w:p>
        </w:tc>
        <w:tc>
          <w:tcPr>
            <w:tcW w:w="1900" w:type="dxa"/>
            <w:noWrap/>
            <w:vAlign w:val="center"/>
          </w:tcPr>
          <w:p>
            <w:pPr>
              <w:pStyle w:val="4"/>
              <w:spacing w:line="360" w:lineRule="auto"/>
              <w:jc w:val="center"/>
              <w:rPr>
                <w:rFonts w:hint="eastAsia" w:ascii="宋体" w:hAnsi="宋体" w:eastAsia="宋体" w:cs="宋体"/>
                <w:b w:val="0"/>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37" w:hRule="atLeast"/>
          <w:jc w:val="center"/>
        </w:trPr>
        <w:tc>
          <w:tcPr>
            <w:tcW w:w="904" w:type="dxa"/>
            <w:noWrap/>
            <w:vAlign w:val="center"/>
          </w:tcPr>
          <w:p>
            <w:pPr>
              <w:pStyle w:val="4"/>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6</w:t>
            </w:r>
          </w:p>
        </w:tc>
        <w:tc>
          <w:tcPr>
            <w:tcW w:w="3317" w:type="dxa"/>
            <w:noWrap/>
            <w:vAlign w:val="center"/>
          </w:tcPr>
          <w:p>
            <w:pPr>
              <w:pStyle w:val="4"/>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lang w:val="en-US" w:eastAsia="zh-CN"/>
              </w:rPr>
              <w:t>各种</w:t>
            </w:r>
            <w:r>
              <w:rPr>
                <w:rFonts w:hint="eastAsia" w:ascii="宋体" w:hAnsi="宋体" w:eastAsia="宋体" w:cs="宋体"/>
                <w:b w:val="0"/>
                <w:bCs/>
                <w:color w:val="000000"/>
                <w:sz w:val="24"/>
                <w:szCs w:val="24"/>
              </w:rPr>
              <w:t>板换密封条</w:t>
            </w:r>
          </w:p>
        </w:tc>
        <w:tc>
          <w:tcPr>
            <w:tcW w:w="1316" w:type="dxa"/>
            <w:noWrap/>
            <w:vAlign w:val="center"/>
          </w:tcPr>
          <w:p>
            <w:pPr>
              <w:pStyle w:val="4"/>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各10</w:t>
            </w:r>
            <w:r>
              <w:rPr>
                <w:rFonts w:hint="eastAsia" w:ascii="宋体" w:hAnsi="宋体" w:eastAsia="宋体" w:cs="宋体"/>
                <w:b w:val="0"/>
                <w:bCs/>
                <w:sz w:val="24"/>
                <w:szCs w:val="24"/>
              </w:rPr>
              <w:t>条</w:t>
            </w:r>
          </w:p>
        </w:tc>
        <w:tc>
          <w:tcPr>
            <w:tcW w:w="1350" w:type="dxa"/>
            <w:noWrap/>
            <w:vAlign w:val="center"/>
          </w:tcPr>
          <w:p>
            <w:pPr>
              <w:pStyle w:val="4"/>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p>
        </w:tc>
        <w:tc>
          <w:tcPr>
            <w:tcW w:w="1900" w:type="dxa"/>
            <w:noWrap/>
            <w:vAlign w:val="center"/>
          </w:tcPr>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rPr>
              <w:t>材质应为三元乙丙橡胶（或NBR）不低于板换配套材质</w:t>
            </w:r>
          </w:p>
        </w:tc>
      </w:tr>
    </w:tbl>
    <w:p>
      <w:pPr>
        <w:pStyle w:val="10"/>
        <w:tabs>
          <w:tab w:val="left" w:pos="1365"/>
        </w:tabs>
        <w:spacing w:before="0" w:after="0"/>
        <w:ind w:left="0" w:leftChars="0" w:right="0" w:rightChars="0" w:firstLine="482" w:firstLineChars="200"/>
        <w:outlineLvl w:val="1"/>
        <w:rPr>
          <w:rFonts w:hint="eastAsia" w:ascii="宋体" w:hAnsi="宋体" w:eastAsia="宋体" w:cs="宋体"/>
          <w:b/>
          <w:bCs/>
          <w:sz w:val="24"/>
          <w:szCs w:val="24"/>
        </w:rPr>
      </w:pPr>
      <w:bookmarkStart w:id="72" w:name="_Toc26974"/>
      <w:r>
        <w:rPr>
          <w:rFonts w:hint="eastAsia" w:ascii="宋体" w:hAnsi="宋体" w:eastAsia="宋体" w:cs="宋体"/>
          <w:b/>
          <w:bCs/>
          <w:sz w:val="24"/>
          <w:szCs w:val="24"/>
        </w:rPr>
        <w:t>第</w:t>
      </w:r>
      <w:r>
        <w:rPr>
          <w:rFonts w:hint="eastAsia" w:ascii="宋体" w:hAnsi="宋体" w:eastAsia="宋体" w:cs="宋体"/>
          <w:b/>
          <w:bCs/>
          <w:sz w:val="24"/>
          <w:szCs w:val="24"/>
          <w:lang w:eastAsia="zh-CN"/>
        </w:rPr>
        <w:t>九</w:t>
      </w:r>
      <w:r>
        <w:rPr>
          <w:rFonts w:hint="eastAsia" w:ascii="宋体" w:hAnsi="宋体" w:eastAsia="宋体" w:cs="宋体"/>
          <w:b/>
          <w:bCs/>
          <w:sz w:val="24"/>
          <w:szCs w:val="24"/>
        </w:rPr>
        <w:t>条验收及评价</w:t>
      </w:r>
      <w:bookmarkEnd w:id="64"/>
      <w:bookmarkEnd w:id="65"/>
      <w:bookmarkEnd w:id="66"/>
      <w:bookmarkEnd w:id="72"/>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73" w:name="_Toc19654"/>
      <w:r>
        <w:rPr>
          <w:rFonts w:hint="eastAsia" w:ascii="宋体" w:hAnsi="宋体" w:eastAsia="宋体" w:cs="宋体"/>
          <w:sz w:val="24"/>
          <w:szCs w:val="24"/>
          <w:lang w:val="en-US" w:eastAsia="zh-CN"/>
        </w:rPr>
        <w:t>9</w:t>
      </w:r>
      <w:r>
        <w:rPr>
          <w:rFonts w:hint="eastAsia" w:ascii="宋体" w:hAnsi="宋体" w:eastAsia="宋体" w:cs="宋体"/>
          <w:sz w:val="24"/>
          <w:szCs w:val="24"/>
        </w:rPr>
        <w:t>.1一般要求</w:t>
      </w:r>
      <w:bookmarkEnd w:id="73"/>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（1）施工方所提供的设备及主要零部件在安装完成之后，应按技术文件要求进行功能检查和试验，以保证设计和结构满足本标准要求。施工方应按验收标准进行试验，建设单位派人现场监督；</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（2）如在进行试验的时候发现缺陷，施工方应派专业技术人员到现场解决缺陷，直到合格为止。</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（3）换热站性能验收试验的地点应为换热站现场；试验时间应在168小时试运之后半年内进行；性能验收应由第三方主持，双方参加。</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（4）试验大纲应由建设单位提供，与施工方协商确定。</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（5）性能验收试验所需的测点、一次元件和就地仪表的装设应由施工方负责。</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（6）性能验收试验费用，应包括在施工合同总价之内。</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（7）性能验收试验应由双方参加，报告应由施工方编写，应共同签章确认。如双方对试验的结果有不同意见应协商解决。如仍不能达成一致，应提交双方上级部门处理。</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（8）在进行性能验收试验时，如一方接到另一方的提前通知，不派人参加试验，则被视为对验收试验结果的同意，并进行确认签章。</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（9）建设方由生产技术部组织，生产运行部、规划市场部参与验收，并对对验收质量负责。</w:t>
      </w:r>
    </w:p>
    <w:p>
      <w:pPr>
        <w:pStyle w:val="10"/>
        <w:tabs>
          <w:tab w:val="left" w:pos="1365"/>
        </w:tabs>
        <w:spacing w:before="0" w:after="0"/>
        <w:ind w:left="0" w:leftChars="0" w:right="0" w:rightChars="0" w:firstLine="480" w:firstLineChars="200"/>
        <w:outlineLvl w:val="1"/>
        <w:rPr>
          <w:rFonts w:hint="eastAsia" w:ascii="宋体" w:hAnsi="宋体" w:eastAsia="宋体" w:cs="宋体"/>
          <w:sz w:val="24"/>
          <w:szCs w:val="24"/>
        </w:rPr>
      </w:pPr>
      <w:bookmarkStart w:id="74" w:name="_Toc79467692"/>
      <w:bookmarkStart w:id="75" w:name="_Toc7619"/>
      <w:r>
        <w:rPr>
          <w:rFonts w:hint="eastAsia" w:ascii="宋体" w:hAnsi="宋体" w:eastAsia="宋体" w:cs="宋体"/>
          <w:sz w:val="24"/>
          <w:szCs w:val="24"/>
          <w:lang w:val="en-US" w:eastAsia="zh-CN"/>
        </w:rPr>
        <w:t>9</w:t>
      </w:r>
      <w:r>
        <w:rPr>
          <w:rFonts w:hint="eastAsia" w:ascii="宋体" w:hAnsi="宋体" w:eastAsia="宋体" w:cs="宋体"/>
          <w:sz w:val="24"/>
          <w:szCs w:val="24"/>
        </w:rPr>
        <w:t>.2培训</w:t>
      </w:r>
      <w:bookmarkEnd w:id="74"/>
      <w:bookmarkEnd w:id="75"/>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（1）为使合同设备能正常安装、调试、运行、维护及检修，乙方有责任提供相应的技术培训。培训内容应与工程技术内容相一致。</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（2）培训计划和内容由乙方在技术文件中列出。</w:t>
      </w:r>
    </w:p>
    <w:tbl>
      <w:tblPr>
        <w:tblStyle w:val="6"/>
        <w:tblW w:w="83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8"/>
        <w:gridCol w:w="2012"/>
        <w:gridCol w:w="1318"/>
        <w:gridCol w:w="1045"/>
        <w:gridCol w:w="1045"/>
        <w:gridCol w:w="1154"/>
        <w:gridCol w:w="1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68" w:type="dxa"/>
            <w:vMerge w:val="restart"/>
            <w:tcBorders>
              <w:top w:val="single" w:color="auto" w:sz="6" w:space="0"/>
              <w:left w:val="single" w:color="auto" w:sz="6" w:space="0"/>
              <w:bottom w:val="nil"/>
              <w:right w:val="single" w:color="auto"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012" w:type="dxa"/>
            <w:vMerge w:val="restart"/>
            <w:tcBorders>
              <w:top w:val="single" w:color="auto" w:sz="6" w:space="0"/>
              <w:left w:val="nil"/>
              <w:bottom w:val="nil"/>
              <w:right w:val="single" w:color="auto"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培训内容</w:t>
            </w:r>
          </w:p>
        </w:tc>
        <w:tc>
          <w:tcPr>
            <w:tcW w:w="1318" w:type="dxa"/>
            <w:vMerge w:val="restart"/>
            <w:tcBorders>
              <w:top w:val="single" w:color="auto" w:sz="6" w:space="0"/>
              <w:left w:val="nil"/>
              <w:bottom w:val="nil"/>
              <w:right w:val="single" w:color="auto" w:sz="6" w:space="0"/>
            </w:tcBorders>
            <w:vAlign w:val="center"/>
          </w:tcPr>
          <w:p>
            <w:pPr>
              <w:pStyle w:val="12"/>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计划人日数</w:t>
            </w:r>
          </w:p>
        </w:tc>
        <w:tc>
          <w:tcPr>
            <w:tcW w:w="2090" w:type="dxa"/>
            <w:gridSpan w:val="2"/>
            <w:tcBorders>
              <w:top w:val="single" w:color="auto" w:sz="6" w:space="0"/>
              <w:left w:val="nil"/>
              <w:bottom w:val="single" w:color="auto" w:sz="6" w:space="0"/>
              <w:right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培训教师构成</w:t>
            </w:r>
          </w:p>
        </w:tc>
        <w:tc>
          <w:tcPr>
            <w:tcW w:w="1154" w:type="dxa"/>
            <w:vMerge w:val="restart"/>
            <w:tcBorders>
              <w:top w:val="single" w:color="auto" w:sz="6" w:space="0"/>
              <w:left w:val="single" w:color="auto" w:sz="6" w:space="0"/>
              <w:right w:val="single" w:color="auto"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地点</w:t>
            </w:r>
          </w:p>
        </w:tc>
        <w:tc>
          <w:tcPr>
            <w:tcW w:w="1117" w:type="dxa"/>
            <w:vMerge w:val="restart"/>
            <w:tcBorders>
              <w:top w:val="single" w:color="auto" w:sz="6" w:space="0"/>
              <w:left w:val="single" w:color="auto" w:sz="6" w:space="0"/>
              <w:right w:val="single" w:color="auto"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Pr>
        <w:tc>
          <w:tcPr>
            <w:tcW w:w="668" w:type="dxa"/>
            <w:vMerge w:val="continue"/>
            <w:tcBorders>
              <w:top w:val="nil"/>
              <w:left w:val="single" w:color="auto" w:sz="6" w:space="0"/>
              <w:bottom w:val="single" w:color="auto" w:sz="6" w:space="0"/>
              <w:right w:val="single" w:color="auto" w:sz="6" w:space="0"/>
            </w:tcBorders>
          </w:tcPr>
          <w:p>
            <w:pPr>
              <w:spacing w:line="360" w:lineRule="auto"/>
              <w:jc w:val="center"/>
              <w:rPr>
                <w:rFonts w:hint="eastAsia" w:ascii="宋体" w:hAnsi="宋体" w:eastAsia="宋体" w:cs="宋体"/>
                <w:sz w:val="24"/>
                <w:szCs w:val="24"/>
              </w:rPr>
            </w:pPr>
          </w:p>
        </w:tc>
        <w:tc>
          <w:tcPr>
            <w:tcW w:w="2012" w:type="dxa"/>
            <w:vMerge w:val="continue"/>
            <w:tcBorders>
              <w:top w:val="nil"/>
              <w:left w:val="nil"/>
              <w:bottom w:val="single" w:color="auto" w:sz="6" w:space="0"/>
              <w:right w:val="single" w:color="auto" w:sz="6" w:space="0"/>
            </w:tcBorders>
          </w:tcPr>
          <w:p>
            <w:pPr>
              <w:spacing w:line="360" w:lineRule="auto"/>
              <w:jc w:val="center"/>
              <w:rPr>
                <w:rFonts w:hint="eastAsia" w:ascii="宋体" w:hAnsi="宋体" w:eastAsia="宋体" w:cs="宋体"/>
                <w:sz w:val="24"/>
                <w:szCs w:val="24"/>
              </w:rPr>
            </w:pPr>
          </w:p>
        </w:tc>
        <w:tc>
          <w:tcPr>
            <w:tcW w:w="1318" w:type="dxa"/>
            <w:vMerge w:val="continue"/>
            <w:tcBorders>
              <w:top w:val="nil"/>
              <w:left w:val="nil"/>
              <w:bottom w:val="single" w:color="auto" w:sz="6" w:space="0"/>
              <w:right w:val="single" w:color="auto" w:sz="6" w:space="0"/>
            </w:tcBorders>
          </w:tcPr>
          <w:p>
            <w:pPr>
              <w:spacing w:line="360" w:lineRule="auto"/>
              <w:jc w:val="center"/>
              <w:rPr>
                <w:rFonts w:hint="eastAsia" w:ascii="宋体" w:hAnsi="宋体" w:eastAsia="宋体" w:cs="宋体"/>
                <w:sz w:val="24"/>
                <w:szCs w:val="24"/>
              </w:rPr>
            </w:pPr>
          </w:p>
        </w:tc>
        <w:tc>
          <w:tcPr>
            <w:tcW w:w="1045" w:type="dxa"/>
            <w:tcBorders>
              <w:top w:val="nil"/>
              <w:left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职称</w:t>
            </w:r>
          </w:p>
        </w:tc>
        <w:tc>
          <w:tcPr>
            <w:tcW w:w="1045" w:type="dxa"/>
            <w:tcBorders>
              <w:top w:val="nil"/>
              <w:right w:val="single" w:color="auto" w:sz="6" w:space="0"/>
            </w:tcBorders>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人数</w:t>
            </w:r>
          </w:p>
        </w:tc>
        <w:tc>
          <w:tcPr>
            <w:tcW w:w="1154" w:type="dxa"/>
            <w:vMerge w:val="continue"/>
            <w:tcBorders>
              <w:left w:val="single" w:color="auto" w:sz="6" w:space="0"/>
              <w:bottom w:val="single" w:color="auto" w:sz="6" w:space="0"/>
              <w:right w:val="single" w:color="auto" w:sz="6" w:space="0"/>
            </w:tcBorders>
          </w:tcPr>
          <w:p>
            <w:pPr>
              <w:spacing w:line="360" w:lineRule="auto"/>
              <w:jc w:val="center"/>
              <w:rPr>
                <w:rFonts w:hint="eastAsia" w:ascii="宋体" w:hAnsi="宋体" w:eastAsia="宋体" w:cs="宋体"/>
                <w:sz w:val="24"/>
                <w:szCs w:val="24"/>
              </w:rPr>
            </w:pPr>
          </w:p>
        </w:tc>
        <w:tc>
          <w:tcPr>
            <w:tcW w:w="1117" w:type="dxa"/>
            <w:vMerge w:val="continue"/>
            <w:tcBorders>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68" w:type="dxa"/>
            <w:tcBorders>
              <w:top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012" w:type="dxa"/>
            <w:tcBorders>
              <w:top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换热原理</w:t>
            </w:r>
          </w:p>
        </w:tc>
        <w:tc>
          <w:tcPr>
            <w:tcW w:w="1318" w:type="dxa"/>
            <w:tcBorders>
              <w:top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04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工程师</w:t>
            </w:r>
          </w:p>
        </w:tc>
        <w:tc>
          <w:tcPr>
            <w:tcW w:w="104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54" w:type="dxa"/>
            <w:tcBorders>
              <w:top w:val="single" w:color="auto"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甲方指定</w:t>
            </w:r>
          </w:p>
        </w:tc>
        <w:tc>
          <w:tcPr>
            <w:tcW w:w="1117" w:type="dxa"/>
            <w:tcBorders>
              <w:top w:val="single" w:color="auto" w:sz="6" w:space="0"/>
            </w:tcBorders>
            <w:vAlign w:val="center"/>
          </w:tcPr>
          <w:p>
            <w:pPr>
              <w:spacing w:line="360" w:lineRule="auto"/>
              <w:jc w:val="cente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68" w:type="dxa"/>
            <w:tcBorders>
              <w:top w:val="nil"/>
              <w:bottom w:val="single" w:color="000000"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012" w:type="dxa"/>
            <w:tcBorders>
              <w:top w:val="nil"/>
              <w:bottom w:val="single" w:color="000000"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操作及使用说明</w:t>
            </w:r>
          </w:p>
        </w:tc>
        <w:tc>
          <w:tcPr>
            <w:tcW w:w="1318" w:type="dxa"/>
            <w:tcBorders>
              <w:top w:val="nil"/>
              <w:bottom w:val="single" w:color="000000"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045" w:type="dxa"/>
            <w:tcBorders>
              <w:bottom w:val="single" w:color="000000"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工程师</w:t>
            </w:r>
          </w:p>
        </w:tc>
        <w:tc>
          <w:tcPr>
            <w:tcW w:w="1045" w:type="dxa"/>
            <w:tcBorders>
              <w:bottom w:val="single" w:color="000000"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54" w:type="dxa"/>
            <w:tcBorders>
              <w:bottom w:val="single" w:color="000000"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甲方指定</w:t>
            </w:r>
          </w:p>
        </w:tc>
        <w:tc>
          <w:tcPr>
            <w:tcW w:w="1117" w:type="dxa"/>
            <w:tcBorders>
              <w:top w:val="nil"/>
              <w:bottom w:val="single" w:color="000000" w:sz="6" w:space="0"/>
            </w:tcBorders>
            <w:vAlign w:val="center"/>
          </w:tcPr>
          <w:p>
            <w:pPr>
              <w:spacing w:line="360" w:lineRule="auto"/>
              <w:jc w:val="center"/>
              <w:rPr>
                <w:rFonts w:hint="eastAsia" w:ascii="宋体" w:hAnsi="宋体" w:eastAsia="宋体" w:cs="宋体"/>
                <w:sz w:val="24"/>
                <w:szCs w:val="24"/>
              </w:rPr>
            </w:pPr>
          </w:p>
        </w:tc>
      </w:tr>
    </w:tbl>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（3）培训的时间、人数、地点等具体内容由甲乙双方商定。</w:t>
      </w:r>
    </w:p>
    <w:p>
      <w:pPr>
        <w:pStyle w:val="10"/>
        <w:tabs>
          <w:tab w:val="left" w:pos="1365"/>
        </w:tabs>
        <w:spacing w:before="0" w:after="0"/>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（4）乙方为甲方培训人员提供设备、场地、资料等培训条件，并提供食宿和交通方便。</w:t>
      </w:r>
    </w:p>
    <w:p>
      <w:pPr>
        <w:rPr>
          <w:rFonts w:hint="eastAsia" w:ascii="宋体" w:hAnsi="宋体" w:eastAsia="宋体" w:cs="宋体"/>
          <w:b/>
          <w:sz w:val="32"/>
          <w:szCs w:val="32"/>
          <w:highlight w:val="none"/>
        </w:rPr>
      </w:pPr>
      <w:bookmarkStart w:id="76" w:name="_Hlt3858753"/>
      <w:bookmarkEnd w:id="76"/>
      <w:bookmarkStart w:id="77" w:name="_Hlt3858863"/>
      <w:bookmarkEnd w:id="77"/>
      <w:bookmarkStart w:id="78" w:name="_GoBack"/>
      <w:bookmarkEnd w:id="7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000000"/>
    <w:rsid w:val="3EAF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缩进1"/>
    <w:basedOn w:val="3"/>
    <w:next w:val="1"/>
    <w:qFormat/>
    <w:uiPriority w:val="0"/>
    <w:pPr>
      <w:ind w:firstLine="420" w:firstLineChars="200"/>
    </w:pPr>
  </w:style>
  <w:style w:type="paragraph" w:customStyle="1" w:styleId="3">
    <w:name w:val="msonormal"/>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4">
    <w:name w:val="Body Text"/>
    <w:basedOn w:val="1"/>
    <w:next w:val="1"/>
    <w:qFormat/>
    <w:uiPriority w:val="0"/>
    <w:pPr>
      <w:spacing w:line="0" w:lineRule="atLeast"/>
    </w:pPr>
    <w:rPr>
      <w:sz w:val="30"/>
    </w:rPr>
  </w:style>
  <w:style w:type="paragraph" w:styleId="5">
    <w:name w:val="Plain Text"/>
    <w:basedOn w:val="1"/>
    <w:qFormat/>
    <w:uiPriority w:val="0"/>
    <w:pPr>
      <w:adjustRightInd w:val="0"/>
      <w:spacing w:line="360" w:lineRule="atLeast"/>
      <w:textAlignment w:val="baseline"/>
    </w:pPr>
    <w:rPr>
      <w:rFonts w:ascii="宋体" w:hAnsi="Courier New" w:eastAsia="幼圆"/>
      <w:szCs w:val="20"/>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缺省文本"/>
    <w:basedOn w:val="1"/>
    <w:autoRedefine/>
    <w:qFormat/>
    <w:uiPriority w:val="0"/>
    <w:pPr>
      <w:autoSpaceDE w:val="0"/>
      <w:autoSpaceDN w:val="0"/>
      <w:adjustRightInd w:val="0"/>
      <w:jc w:val="left"/>
    </w:pPr>
    <w:rPr>
      <w:kern w:val="0"/>
      <w:sz w:val="24"/>
    </w:rPr>
  </w:style>
  <w:style w:type="paragraph" w:customStyle="1" w:styleId="10">
    <w:name w:val="样式 正文部分 + 左侧:  0.37 厘米 右侧:  0.37 厘米"/>
    <w:basedOn w:val="11"/>
    <w:autoRedefine/>
    <w:qFormat/>
    <w:uiPriority w:val="0"/>
    <w:pPr>
      <w:ind w:left="100" w:leftChars="100" w:right="210" w:rightChars="100"/>
    </w:pPr>
  </w:style>
  <w:style w:type="paragraph" w:customStyle="1" w:styleId="11">
    <w:name w:val="正文部分"/>
    <w:basedOn w:val="5"/>
    <w:autoRedefine/>
    <w:qFormat/>
    <w:uiPriority w:val="0"/>
    <w:pPr>
      <w:spacing w:before="120" w:after="120" w:line="360" w:lineRule="auto"/>
    </w:pPr>
    <w:rPr>
      <w:rFonts w:hAnsi="宋体"/>
      <w:sz w:val="24"/>
      <w:szCs w:val="20"/>
    </w:rPr>
  </w:style>
  <w:style w:type="paragraph" w:customStyle="1" w:styleId="12">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2024-04-22T07:18:27Z</dcterms:created>
  <dc:creator>Pickyi</dc:creator>
  <cp:lastModifiedBy>无关风月</cp:lastModifiedBy>
  <dcterms:modified xsi:type="dcterms:W3CDTF">2024-04-22T07:25:12Z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BEFF2B80D993453CBF915FC7EF903874_12</vt:lpwstr>
  </property>
</Properties>
</file>