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cs="宋体"/>
          <w:b/>
          <w:bCs/>
          <w:sz w:val="52"/>
          <w:szCs w:val="52"/>
          <w:highlight w:val="none"/>
          <w:lang w:val="en-US" w:eastAsia="zh-CN"/>
        </w:rPr>
      </w:pPr>
      <w:r>
        <w:rPr>
          <w:rFonts w:hint="eastAsia" w:ascii="宋体" w:hAnsi="宋体" w:eastAsia="宋体" w:cs="宋体"/>
          <w:b/>
          <w:bCs/>
          <w:sz w:val="52"/>
          <w:szCs w:val="52"/>
          <w:highlight w:val="none"/>
          <w:lang w:val="en-US" w:eastAsia="zh-CN"/>
        </w:rPr>
        <w:t>咸阳市热力公司利用热电联产热网新建及改建项目二期工程</w:t>
      </w:r>
      <w:r>
        <w:rPr>
          <w:rFonts w:hint="eastAsia" w:ascii="宋体" w:hAnsi="宋体" w:cs="宋体"/>
          <w:b/>
          <w:bCs/>
          <w:sz w:val="52"/>
          <w:szCs w:val="52"/>
          <w:highlight w:val="none"/>
          <w:lang w:val="en-US" w:eastAsia="zh-CN"/>
        </w:rPr>
        <w:t>2024年</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换热站</w:t>
      </w:r>
      <w:r>
        <w:rPr>
          <w:rFonts w:hint="eastAsia" w:ascii="宋体" w:hAnsi="宋体" w:cs="宋体"/>
          <w:b/>
          <w:bCs/>
          <w:sz w:val="52"/>
          <w:szCs w:val="52"/>
          <w:highlight w:val="none"/>
          <w:lang w:val="en-US" w:eastAsia="zh-CN"/>
        </w:rPr>
        <w:t>换热机组</w:t>
      </w:r>
      <w:r>
        <w:rPr>
          <w:rFonts w:hint="eastAsia" w:ascii="宋体" w:hAnsi="宋体" w:eastAsia="宋体" w:cs="宋体"/>
          <w:b/>
          <w:bCs/>
          <w:sz w:val="52"/>
          <w:szCs w:val="52"/>
          <w:highlight w:val="none"/>
          <w:lang w:val="en-US" w:eastAsia="zh-CN"/>
        </w:rPr>
        <w:t>设备采购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pStyle w:val="2"/>
        <w:rPr>
          <w:rFonts w:hint="default"/>
          <w:lang w:val="en-US" w:eastAsia="zh-CN"/>
        </w:rPr>
      </w:pPr>
      <w:r>
        <w:rPr>
          <w:rFonts w:hint="eastAsia" w:ascii="方正小标宋简体" w:hAnsi="方正小标宋简体" w:eastAsia="方正小标宋简体" w:cs="方正小标宋简体"/>
          <w:sz w:val="36"/>
          <w:szCs w:val="36"/>
          <w:highlight w:val="none"/>
          <w:lang w:val="en-US" w:eastAsia="zh-CN"/>
        </w:rPr>
        <w:t xml:space="preserve">                     </w:t>
      </w: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pStyle w:val="12"/>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2"/>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240" w:lineRule="auto"/>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咸阳市热力公司利用热电联产热网新建及改建项目二期工程2024年换热站换热机组设备采购报价要求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我公司拟对咸阳市热力公司利用热电联产热网新建及改建项目二期工程2024年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换热站换热机组设备采购进行比价洽谈，特邀请贵公司参与洽谈。该项目具体情况如下：</w:t>
      </w:r>
    </w:p>
    <w:p>
      <w:pPr>
        <w:spacing w:line="360" w:lineRule="auto"/>
        <w:ind w:firstLine="482" w:firstLineChars="200"/>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eastAsia="宋体" w:cs="宋体"/>
          <w:sz w:val="24"/>
          <w:szCs w:val="24"/>
          <w:lang w:val="en-US" w:eastAsia="zh-CN"/>
        </w:rPr>
        <w:t>咸阳市热力公司利用热电联产热网新建及改建项目二期工程</w:t>
      </w:r>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w:t>
      </w:r>
      <w:r>
        <w:rPr>
          <w:rFonts w:hint="eastAsia" w:ascii="宋体" w:hAnsi="宋体" w:cs="宋体"/>
          <w:b/>
          <w:bCs/>
          <w:sz w:val="24"/>
          <w:szCs w:val="24"/>
          <w:lang w:val="en-US" w:eastAsia="zh-CN"/>
        </w:rPr>
        <w:t>内容</w:t>
      </w:r>
      <w:r>
        <w:rPr>
          <w:rFonts w:hint="eastAsia" w:ascii="宋体" w:hAnsi="宋体" w:eastAsia="宋体" w:cs="宋体"/>
          <w:b/>
          <w:bCs/>
          <w:sz w:val="24"/>
          <w:szCs w:val="24"/>
          <w:lang w:eastAsia="zh-CN"/>
        </w:rPr>
        <w:t>及要求：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b w:val="0"/>
          <w:bCs w:val="0"/>
          <w:sz w:val="28"/>
          <w:szCs w:val="28"/>
          <w:lang w:val="en-US" w:eastAsia="zh-CN"/>
        </w:rPr>
      </w:pPr>
      <w:r>
        <w:rPr>
          <w:rFonts w:hint="eastAsia" w:cs="宋体"/>
          <w:b w:val="0"/>
          <w:bCs w:val="0"/>
          <w:sz w:val="28"/>
          <w:szCs w:val="28"/>
          <w:lang w:val="en-US" w:eastAsia="zh-CN" w:bidi="ar-SA"/>
        </w:rPr>
        <w:t>1.</w:t>
      </w:r>
      <w:r>
        <w:rPr>
          <w:rFonts w:hint="eastAsia" w:cs="宋体"/>
          <w:b w:val="0"/>
          <w:bCs w:val="0"/>
          <w:sz w:val="28"/>
          <w:szCs w:val="28"/>
          <w:lang w:val="en-US" w:eastAsia="zh-CN"/>
        </w:rPr>
        <w:t>采购内容：详见清单</w:t>
      </w:r>
    </w:p>
    <w:tbl>
      <w:tblPr>
        <w:tblStyle w:val="22"/>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931"/>
        <w:gridCol w:w="2107"/>
        <w:gridCol w:w="3863"/>
        <w:gridCol w:w="7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项目名称</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设备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国润翠湖东区换热站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供热量3525kW/套；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供热量2506kW/套；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国润翠湖西区换热站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供热量1549kW/套；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政府一号换热站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供热量7241kW/套；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二次侧70/50℃热水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老干中心换热站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r>
              <w:rPr>
                <w:rFonts w:hint="eastAsia" w:asciiTheme="minorEastAsia" w:hAnsiTheme="minorEastAsia" w:eastAsiaTheme="minorEastAsia" w:cstheme="minorEastAsia"/>
                <w:kern w:val="2"/>
                <w:sz w:val="24"/>
                <w:szCs w:val="24"/>
                <w:lang w:val="en-US" w:eastAsia="zh-CN" w:bidi="ar-SA"/>
              </w:rPr>
              <w:t>。</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财富中心换热站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商业整体式板式换热机组(水-水换热)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供热量5544kW/套；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住宅低区整体式板式换热机组(水-水换热)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供热量2404kW/套；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住宅高区整体式板式换热机组(水-水换热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供热量2581kW/套；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纳富特广场小区换热站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供热量1079kW/套；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11</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供热量1393kW/套；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12</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中医学院高层换热站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供热量1400kW/套；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供热量622kW/套；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七厂一区换热站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供热量11298kW/套；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政府二号换热站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供热量1561kW/套；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中医学院多层换热站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供热量5657kW/套；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艺龙小区换热站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供热量1117kW/套；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供热量1094kW/套；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澜花语岸换热站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供热量717kW/套；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w:t>
            </w:r>
          </w:p>
        </w:tc>
        <w:tc>
          <w:tcPr>
            <w:tcW w:w="931"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中央领域换热站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供热量1063kW/套；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21</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北区高区整体式板式换热机组(水-水换热)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供热量3215kW/套；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22</w:t>
            </w:r>
          </w:p>
        </w:tc>
        <w:tc>
          <w:tcPr>
            <w:tcW w:w="931"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北区低区整体式板式换热机组(水-水换热)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供热量4923kW/套；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4"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23</w:t>
            </w:r>
          </w:p>
        </w:tc>
        <w:tc>
          <w:tcPr>
            <w:tcW w:w="93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统一广场换热站</w:t>
            </w:r>
          </w:p>
        </w:tc>
        <w:tc>
          <w:tcPr>
            <w:tcW w:w="21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86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供热量1156kW/套；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90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r>
    </w:tbl>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lang w:eastAsia="zh-CN"/>
        </w:rPr>
      </w:pPr>
      <w:r>
        <w:rPr>
          <w:rFonts w:hint="eastAsia"/>
          <w:b/>
          <w:bCs/>
          <w:sz w:val="32"/>
          <w:szCs w:val="32"/>
          <w:lang w:eastAsia="zh-CN"/>
        </w:rPr>
        <w:t>主要设备清单</w:t>
      </w:r>
    </w:p>
    <w:tbl>
      <w:tblPr>
        <w:tblStyle w:val="21"/>
        <w:tblW w:w="10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2417"/>
        <w:gridCol w:w="3544"/>
        <w:gridCol w:w="855"/>
        <w:gridCol w:w="87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一、</w:t>
            </w:r>
            <w:r>
              <w:rPr>
                <w:rFonts w:hint="eastAsia" w:ascii="宋体" w:hAnsi="宋体" w:eastAsia="宋体" w:cs="宋体"/>
                <w:b/>
                <w:bCs/>
                <w:i w:val="0"/>
                <w:iCs w:val="0"/>
                <w:color w:val="000000"/>
                <w:kern w:val="0"/>
                <w:sz w:val="24"/>
                <w:szCs w:val="24"/>
                <w:u w:val="none"/>
                <w:lang w:val="en-US" w:eastAsia="zh-CN" w:bidi="ar"/>
              </w:rPr>
              <w:t>政府1号换热站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供热量7241kW/套；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二次侧70/50℃热水。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单台供热量：4700kW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G=400m³/h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补水泵组</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G=8m³/h  H=45m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二、老干中心换热站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三、财富中心换热站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商业整体式板式换热机组(水-水换热)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供热量5544kW/套；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单台供热量：3600kW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G=550m³/h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G=11m³/h  H=60m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供热量2404kW/套；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单台供热量：1600kW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G=5m³/h  H=90m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供热量2581kW/套；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单台供热量：1700kW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G=265m³/h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G=5.5m³/h  H=119m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四、纳富特广场小区换热站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供热量1079kW/套；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单台供热量：700kW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H=65m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高区低区整体式板式换热机组(水-水换热)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供热量1393kW/套；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单台供热量：900kW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G=145m³/h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G=3m³/h  H=113m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五、七厂一区换热站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供热量11298kW/套；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单台供热量：7500kW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G=300m³/h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G=12m³/h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六、政府二号换热站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供热量1561kW/套；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G=85m³/h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pPr>
          </w:p>
        </w:tc>
      </w:tr>
      <w:tr>
        <w:tblPrEx>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七、艺龙小区小区换热站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单台供热量：1350kW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H=48m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供热量1094kW/套；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单台供热量：1035kW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H=75m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八、国润翠湖东区换热站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供热量3525kW/套；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单台供热量：2300kW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G=180m³/h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G=7.2m³/h  H=57m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供热量2506kW/套；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单台供热量：1650kW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G=130m³/h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G=5.2m³/h  H=97m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九、国润翠湖西区换热站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单台供热量：1350kW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G=200m³/h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G=4m³/h  H=62m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供热量1549kW/套；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G=160m³/h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G=3.2m³/h  H=112m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十、中医学院高层换热站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供热量1400kW/套；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单台供热量：900kW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G=140m³/h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G=3m³/h  H=67m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供热量622kW/套；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单台供热量：400kW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G=1.5m³/h  H=92m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十一、中医学院多层换热站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供热量5657kW/套；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单台供热量：3700kW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G=300m³/h  H=38m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十二、澜花语岸换热站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供热量717kW/套；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单台供热量：8600kW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G=40m³/h  H=28m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G=1m³/h  H=31m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电机：N=0.37kW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十三、中央领域换热站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南区整体式板式换热机组(水-水换热)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供热量1063kW/套；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单台供热量：700kW</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G=110m³/h  H=28m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EHR≤0.011349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G=2m³/h  H=70m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北区高区整体式板式换热机组(水-水换热)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供热量3215kW/套；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单台供热量：2100kW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G=170m³/h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EHR≤0.011349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G=6m³/h  H=112m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北区低区整体式板式换热机组(水-水换热)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供热量4923kW/套；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单台供热量：3200kW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电机：N=37kW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G=9m³/h  H=70m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080" w:type="dxa"/>
            <w:gridSpan w:val="6"/>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十四、统一广场换热站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供热量1156kW/套；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单台供热量：750kW</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数量以实际用量为准。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2.物资运输地址：咸阳市热力公司利用热电联产热网新建及改建项目二期工程项目甲方指定地点。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3.供货周期：接买方订单计划后</w:t>
      </w:r>
      <w:r>
        <w:rPr>
          <w:rFonts w:hint="eastAsia" w:ascii="宋体" w:hAnsi="宋体" w:cs="宋体"/>
          <w:sz w:val="24"/>
          <w:szCs w:val="24"/>
          <w:lang w:val="en-US" w:eastAsia="zh-CN"/>
        </w:rPr>
        <w:t>30</w:t>
      </w:r>
      <w:r>
        <w:rPr>
          <w:rFonts w:hint="eastAsia" w:ascii="宋体" w:hAnsi="宋体" w:eastAsia="宋体" w:cs="宋体"/>
          <w:sz w:val="24"/>
          <w:szCs w:val="24"/>
          <w:lang w:val="en-US" w:eastAsia="zh-CN"/>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3.随车提供合格证、检验报告、厂家资料。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4.材料设备具体参数及要求。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1、换热机组设备</w:t>
      </w:r>
      <w:r>
        <w:rPr>
          <w:rFonts w:hint="eastAsia" w:ascii="宋体" w:hAnsi="宋体" w:cs="宋体"/>
          <w:sz w:val="24"/>
          <w:szCs w:val="24"/>
          <w:lang w:val="en-US" w:eastAsia="zh-CN"/>
        </w:rPr>
        <w:t>技术</w:t>
      </w:r>
      <w:r>
        <w:rPr>
          <w:rFonts w:hint="eastAsia" w:ascii="宋体" w:hAnsi="宋体" w:eastAsia="宋体" w:cs="宋体"/>
          <w:sz w:val="24"/>
          <w:szCs w:val="24"/>
          <w:lang w:val="en-US" w:eastAsia="zh-CN"/>
        </w:rPr>
        <w:t>要求：详见</w:t>
      </w:r>
      <w:r>
        <w:rPr>
          <w:rFonts w:hint="eastAsia" w:ascii="宋体" w:hAnsi="宋体" w:cs="宋体"/>
          <w:sz w:val="24"/>
          <w:szCs w:val="24"/>
          <w:lang w:val="en-US" w:eastAsia="zh-CN"/>
        </w:rPr>
        <w:t>附件1：</w:t>
      </w:r>
      <w:r>
        <w:rPr>
          <w:rFonts w:hint="eastAsia" w:ascii="宋体" w:hAnsi="宋体" w:eastAsia="宋体" w:cs="宋体"/>
          <w:sz w:val="24"/>
          <w:szCs w:val="24"/>
          <w:lang w:val="en-US" w:eastAsia="zh-CN"/>
        </w:rPr>
        <w:t>技术协议</w:t>
      </w:r>
      <w:r>
        <w:rPr>
          <w:rFonts w:hint="eastAsia" w:ascii="宋体" w:hAnsi="宋体" w:cs="宋体"/>
          <w:sz w:val="24"/>
          <w:szCs w:val="24"/>
          <w:lang w:val="en-US" w:eastAsia="zh-CN"/>
        </w:rPr>
        <w:t>；附件2：施工图纸。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2、换热机组设备采购、运输、装卸，满足图纸要求。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3、换热机组需安装就位至各个换热站设备基础并找平找正后进行验收（配套地脚螺栓）。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4、换热机组装配件均需符合国家相关行业标准（附技术协议）。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5、需提供优化图纸及相关技术资料。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6、随机资料需装订成册，设备铭牌需注明设备名称、规格型号、生产厂家及生产日期等。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kern w:val="0"/>
          <w:sz w:val="24"/>
          <w:szCs w:val="24"/>
          <w:highlight w:val="yellow"/>
          <w:lang w:val="en-US" w:eastAsia="zh-CN" w:bidi="ar-SA"/>
        </w:rPr>
      </w:pPr>
      <w:r>
        <w:rPr>
          <w:rFonts w:hint="eastAsia" w:ascii="宋体" w:hAnsi="宋体" w:eastAsia="宋体" w:cs="宋体"/>
          <w:sz w:val="24"/>
          <w:szCs w:val="24"/>
          <w:lang w:val="en-US" w:eastAsia="zh-CN"/>
        </w:rPr>
        <w:t>7、要求专业技术人员到场配合调试</w:t>
      </w:r>
      <w:r>
        <w:rPr>
          <w:rFonts w:hint="eastAsia" w:ascii="宋体" w:hAnsi="宋体" w:cs="宋体"/>
          <w:sz w:val="28"/>
          <w:szCs w:val="28"/>
          <w:lang w:val="en-US" w:eastAsia="zh-CN"/>
        </w:rPr>
        <w:t>。</w:t>
      </w:r>
    </w:p>
    <w:bookmarkEnd w:id="0"/>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keepNext w:val="0"/>
        <w:keepLines w:val="0"/>
        <w:pageBreakBefore w:val="0"/>
        <w:widowControl w:val="0"/>
        <w:kinsoku/>
        <w:wordWrap/>
        <w:overflowPunct/>
        <w:topLinePunct w:val="0"/>
        <w:autoSpaceDE/>
        <w:autoSpaceDN/>
        <w:bidi w:val="0"/>
        <w:adjustRightInd/>
        <w:snapToGrid/>
        <w:spacing w:after="0" w:line="42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1.具有独立法人资格,且具备有效合格的统一社会信用代码的营业执照。提供有效的基本账户开户许可证，或基本账户信息证明材料</w:t>
      </w:r>
      <w:r>
        <w:rPr>
          <w:rFonts w:hint="eastAsia" w:ascii="宋体" w:hAnsi="宋体" w:cs="宋体"/>
          <w:sz w:val="24"/>
          <w:szCs w:val="24"/>
          <w:lang w:eastAsia="zh-CN"/>
        </w:rPr>
        <w:t>；</w:t>
      </w:r>
      <w:r>
        <w:rPr>
          <w:rFonts w:hint="eastAsia" w:ascii="宋体" w:hAnsi="宋体" w:cs="宋体"/>
          <w:sz w:val="24"/>
          <w:szCs w:val="24"/>
          <w:lang w:val="en-US" w:eastAsia="zh-CN"/>
        </w:rPr>
        <w:t>贸易商具备主要设备厂家授权许可，生产厂家具备相关生产资质；</w:t>
      </w:r>
    </w:p>
    <w:p>
      <w:pPr>
        <w:keepNext w:val="0"/>
        <w:keepLines w:val="0"/>
        <w:pageBreakBefore w:val="0"/>
        <w:widowControl w:val="0"/>
        <w:kinsoku/>
        <w:wordWrap/>
        <w:overflowPunct/>
        <w:topLinePunct w:val="0"/>
        <w:autoSpaceDE/>
        <w:autoSpaceDN/>
        <w:bidi w:val="0"/>
        <w:adjustRightInd/>
        <w:snapToGrid/>
        <w:spacing w:after="0"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2.具备一般纳税人资格，提供如税务机关出具的一般纳税人资格证明，或近期开具的增值税专用发票，或税务机关官方网站一般纳税人查询记录截图等有效证明材料。</w:t>
      </w:r>
    </w:p>
    <w:p>
      <w:pPr>
        <w:keepNext w:val="0"/>
        <w:keepLines w:val="0"/>
        <w:pageBreakBefore w:val="0"/>
        <w:widowControl w:val="0"/>
        <w:kinsoku/>
        <w:wordWrap/>
        <w:overflowPunct/>
        <w:topLinePunct w:val="0"/>
        <w:autoSpaceDE/>
        <w:autoSpaceDN/>
        <w:bidi w:val="0"/>
        <w:adjustRightInd/>
        <w:snapToGrid/>
        <w:spacing w:after="0" w:line="4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keepNext w:val="0"/>
        <w:keepLines w:val="0"/>
        <w:pageBreakBefore w:val="0"/>
        <w:widowControl w:val="0"/>
        <w:kinsoku/>
        <w:wordWrap/>
        <w:overflowPunct/>
        <w:topLinePunct w:val="0"/>
        <w:autoSpaceDE/>
        <w:autoSpaceDN/>
        <w:bidi w:val="0"/>
        <w:adjustRightInd/>
        <w:snapToGrid/>
        <w:spacing w:after="0" w:line="42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.提供报价人2020年1月1日至今（以合同签订时间为准）承担过</w:t>
      </w:r>
      <w:r>
        <w:rPr>
          <w:rFonts w:hint="eastAsia" w:ascii="宋体" w:hAnsi="宋体" w:eastAsia="宋体" w:cs="宋体"/>
          <w:sz w:val="24"/>
          <w:szCs w:val="24"/>
          <w:highlight w:val="none"/>
          <w:lang w:val="en-US" w:eastAsia="zh-CN"/>
        </w:rPr>
        <w:t>类似</w:t>
      </w:r>
      <w:r>
        <w:rPr>
          <w:rFonts w:hint="eastAsia" w:ascii="宋体" w:hAnsi="宋体" w:eastAsia="宋体" w:cs="宋体"/>
          <w:sz w:val="24"/>
          <w:szCs w:val="24"/>
          <w:highlight w:val="none"/>
          <w:lang w:eastAsia="zh-CN"/>
        </w:rPr>
        <w:t>供货业绩证明材料不少于</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个</w:t>
      </w:r>
      <w:r>
        <w:rPr>
          <w:rFonts w:hint="eastAsia" w:ascii="宋体" w:hAnsi="宋体" w:cs="宋体"/>
          <w:sz w:val="24"/>
          <w:szCs w:val="24"/>
          <w:highlight w:val="none"/>
          <w:lang w:eastAsia="zh-CN"/>
        </w:rPr>
        <w:t>。</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2.谈判报价均包括但不限于材料费、运输费、吊装费、仓储保管费、保险费、培训指导费、安装费、现场服务费、税费、利润等一切相关费用，以及报价人在报价前明示或暗示的所有风险、责任和义务。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3.交货期：买方下订单后30日内送到。</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5.结算方式：产品交付经买方验收合格，卖方按照收货数量向买方出具全额增值税专用发票后</w:t>
      </w:r>
      <w:r>
        <w:rPr>
          <w:rFonts w:hint="eastAsia" w:ascii="宋体" w:hAnsi="宋体" w:eastAsia="宋体" w:cs="宋体"/>
          <w:sz w:val="24"/>
          <w:szCs w:val="24"/>
          <w:highlight w:val="none"/>
          <w:u w:val="single"/>
          <w:lang w:val="en-US" w:eastAsia="zh-CN"/>
        </w:rPr>
        <w:t>20</w:t>
      </w:r>
      <w:r>
        <w:rPr>
          <w:rFonts w:hint="eastAsia" w:ascii="宋体" w:hAnsi="宋体" w:eastAsia="宋体" w:cs="宋体"/>
          <w:sz w:val="24"/>
          <w:szCs w:val="24"/>
          <w:highlight w:val="none"/>
          <w:lang w:val="en-US" w:eastAsia="zh-CN"/>
        </w:rPr>
        <w:t>个工作日内，买方支付验收合格产品货款的</w:t>
      </w:r>
      <w:r>
        <w:rPr>
          <w:rFonts w:hint="eastAsia" w:ascii="宋体" w:hAnsi="宋体" w:eastAsia="宋体" w:cs="宋体"/>
          <w:strike/>
          <w:dstrike w:val="0"/>
          <w:sz w:val="24"/>
          <w:szCs w:val="24"/>
          <w:highlight w:val="none"/>
          <w:lang w:val="en-US" w:eastAsia="zh-CN"/>
        </w:rPr>
        <w:t xml:space="preserve"> 80 %</w:t>
      </w:r>
      <w:r>
        <w:rPr>
          <w:rFonts w:hint="eastAsia" w:ascii="宋体" w:hAnsi="宋体" w:eastAsia="宋体" w:cs="宋体"/>
          <w:sz w:val="24"/>
          <w:szCs w:val="24"/>
          <w:highlight w:val="none"/>
          <w:lang w:val="en-US" w:eastAsia="zh-CN"/>
        </w:rPr>
        <w:t>产品投入使用后  60  日无任何质量问题，买方支付货款至</w:t>
      </w:r>
      <w:r>
        <w:rPr>
          <w:rFonts w:hint="eastAsia" w:ascii="宋体" w:hAnsi="宋体" w:eastAsia="宋体" w:cs="宋体"/>
          <w:sz w:val="24"/>
          <w:szCs w:val="24"/>
          <w:highlight w:val="none"/>
          <w:u w:val="single"/>
          <w:lang w:val="en-US" w:eastAsia="zh-CN"/>
        </w:rPr>
        <w:t xml:space="preserve">  95  </w:t>
      </w:r>
      <w:r>
        <w:rPr>
          <w:rFonts w:hint="eastAsia" w:ascii="宋体" w:hAnsi="宋体" w:eastAsia="宋体" w:cs="宋体"/>
          <w:sz w:val="24"/>
          <w:szCs w:val="24"/>
          <w:highlight w:val="none"/>
          <w:lang w:val="en-US" w:eastAsia="zh-CN"/>
        </w:rPr>
        <w:t>%，剩余</w:t>
      </w:r>
      <w:r>
        <w:rPr>
          <w:rFonts w:hint="eastAsia" w:ascii="宋体" w:hAnsi="宋体" w:eastAsia="宋体" w:cs="宋体"/>
          <w:sz w:val="24"/>
          <w:szCs w:val="24"/>
          <w:highlight w:val="none"/>
          <w:u w:val="single"/>
          <w:lang w:val="en-US" w:eastAsia="zh-CN"/>
        </w:rPr>
        <w:t xml:space="preserve">  5  %</w:t>
      </w:r>
      <w:r>
        <w:rPr>
          <w:rFonts w:hint="eastAsia" w:ascii="宋体" w:hAnsi="宋体" w:eastAsia="宋体" w:cs="宋体"/>
          <w:sz w:val="24"/>
          <w:szCs w:val="24"/>
          <w:highlight w:val="none"/>
          <w:lang w:val="en-US" w:eastAsia="zh-CN"/>
        </w:rPr>
        <w:t>作为质保金，产品质量保证期限届满后</w:t>
      </w:r>
      <w:r>
        <w:rPr>
          <w:rFonts w:hint="eastAsia" w:ascii="宋体" w:hAnsi="宋体" w:eastAsia="宋体" w:cs="宋体"/>
          <w:sz w:val="24"/>
          <w:szCs w:val="24"/>
          <w:highlight w:val="none"/>
          <w:u w:val="single"/>
          <w:lang w:val="en-US" w:eastAsia="zh-CN"/>
        </w:rPr>
        <w:t>1</w:t>
      </w:r>
      <w:r>
        <w:rPr>
          <w:rFonts w:hint="eastAsia" w:ascii="宋体" w:hAnsi="宋体" w:eastAsia="宋体" w:cs="宋体"/>
          <w:sz w:val="24"/>
          <w:szCs w:val="24"/>
          <w:highlight w:val="none"/>
          <w:lang w:val="en-US" w:eastAsia="zh-CN"/>
        </w:rPr>
        <w:t>年，如未发生质量问题，买方一次性无息付清质保金。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8.付款方式：采取银行转账、承兑汇票或电汇方式。</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1.运杂费：运输及运输费用由卖方承担。一次包死，已包含在合同总价内，包括从产品供应地点到交货地点所包含的运输费、保险费、搬运费。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2.根据材料的特性包装，满足运输要求，负责运输至订单指定的交货地点，并选择运输风险小，成本低，距离短的路线，要符合运输装卸要求，以保证安全无损的运到收货地点。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3.装运通知：卖方应在货物装运完后24小时之内以电话、电报或传真形式将合同号、货物名称、数量、毛重、体积（立方米）、金额、运输工具名称及启运日期通知买方。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4.包装应按国家标准或专业标准规定执行，由于包装不善引起的货物锈蚀、损坏、丢失均有卖方承担。</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5.到货后，买方依据卖方提供的清单进行验收。对缺件、质量损坏等做出记录，卖方负责处理。如属运输部门造成的设备性能下降，破损，缺件等事故由卖方负责解决。</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6.材料到现场后未交付买方前，由卖方负责保管维护，费用由卖方承担。</w:t>
      </w:r>
    </w:p>
    <w:p>
      <w:pPr>
        <w:pStyle w:val="52"/>
        <w:widowControl w:val="0"/>
        <w:shd w:val="clear" w:color="auto" w:fill="auto"/>
        <w:spacing w:before="0" w:after="0" w:line="360" w:lineRule="auto"/>
        <w:ind w:firstLine="482" w:firstLineChars="200"/>
        <w:jc w:val="both"/>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六、质量保证</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1.卖方向买方交付的产品质量保证期为产品到货验收合格后24个月，以每批次产品交付最终验收合格并投入使用之日起计算。</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2.质量保证期内，卖方应当履行产品质量保证书或售后服务承诺书以及本合同确定的质量保证义务。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3.质量保证期内，如出现质量问题，卖方在接到买方通知起 </w:t>
      </w:r>
      <w:r>
        <w:rPr>
          <w:rFonts w:hint="eastAsia" w:ascii="宋体" w:hAnsi="宋体" w:eastAsia="宋体" w:cs="宋体"/>
          <w:kern w:val="2"/>
          <w:sz w:val="24"/>
          <w:szCs w:val="24"/>
          <w:lang w:val="en-US" w:eastAsia="zh-CN"/>
        </w:rPr>
        <w:t>24</w:t>
      </w:r>
      <w:r>
        <w:rPr>
          <w:rFonts w:hint="eastAsia" w:ascii="宋体" w:hAnsi="宋体" w:eastAsia="宋体" w:cs="宋体"/>
          <w:kern w:val="2"/>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4.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5.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6.质量保证期内，自送修之日起超过10日未修好的，卖方应当在接到买方通知后10日内免费为买方调换同品牌同型号同规格的全新产品。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7.质量保证期内，发生质量问题，若卖方不能证明系因买方使用不当所造成，由卖方承担质量责任。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8.技术资料：随货提供产品合格证、检验报告等。</w:t>
      </w:r>
    </w:p>
    <w:p>
      <w:pPr>
        <w:pStyle w:val="52"/>
        <w:widowControl w:val="0"/>
        <w:shd w:val="clear" w:color="auto" w:fill="auto"/>
        <w:spacing w:before="0" w:after="0" w:line="360" w:lineRule="auto"/>
        <w:ind w:firstLine="482" w:firstLineChars="200"/>
        <w:jc w:val="both"/>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七、售后服务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1.卖方在接到通知后24小时内必须响应，且有完善的售后服务措施。</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4.产品质量保证期间发生质量问题，卖方按照投标文件关于质量保证相关约定承担维修、更换、退货义务。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spacing w:after="0"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八、谈判响应文件及递交时间</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（一）谈判响应文件组成</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1.谈判响应函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2.报价一览表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3.分项报价表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6.业绩证明资料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7.信用证明资料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8.质量保证和售后服务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9.竞争性谈判报价回执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9点</w:t>
      </w:r>
      <w:bookmarkStart w:id="3" w:name="_GoBack"/>
      <w:bookmarkEnd w:id="3"/>
      <w:r>
        <w:rPr>
          <w:rFonts w:hint="eastAsia" w:ascii="宋体" w:hAnsi="宋体" w:eastAsia="宋体" w:cs="宋体"/>
          <w:sz w:val="24"/>
          <w:szCs w:val="24"/>
          <w:highlight w:val="none"/>
          <w:lang w:val="en-US" w:eastAsia="zh-CN"/>
        </w:rPr>
        <w:t>前，地点：陕西省西安市高陵区中钢大道陕西燃气集团工程有限公司。逾期送达的或者未送达指定地点的报价文件，逾期恕不接受。</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eastAsia="zh-CN"/>
        </w:rPr>
        <w:t>地    址</w:t>
      </w:r>
      <w:r>
        <w:rPr>
          <w:rFonts w:hint="eastAsia" w:ascii="宋体" w:hAnsi="宋体" w:eastAsia="宋体" w:cs="宋体"/>
          <w:sz w:val="24"/>
          <w:szCs w:val="24"/>
          <w:highlight w:val="none"/>
          <w:lang w:val="zh-TW" w:eastAsia="zh-CN"/>
        </w:rPr>
        <w:t>：陕西省西安市高陵区中钢大道陕西燃气集团工程有限公司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项目技术</w:t>
      </w:r>
      <w:r>
        <w:rPr>
          <w:rFonts w:hint="eastAsia" w:ascii="宋体" w:hAnsi="宋体" w:eastAsia="宋体" w:cs="宋体"/>
          <w:sz w:val="24"/>
          <w:szCs w:val="24"/>
          <w:highlight w:val="none"/>
          <w:lang w:val="en-US" w:eastAsia="zh-CN"/>
        </w:rPr>
        <w:t>联系人：常志帅                  联系电话：18303410687</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w:t>
      </w:r>
      <w:r>
        <w:rPr>
          <w:rFonts w:hint="eastAsia" w:ascii="宋体" w:hAnsi="宋体" w:cs="宋体"/>
          <w:sz w:val="24"/>
          <w:szCs w:val="24"/>
          <w:highlight w:val="none"/>
          <w:lang w:val="en-US" w:eastAsia="zh-CN"/>
        </w:rPr>
        <w:t>经理</w:t>
      </w:r>
      <w:r>
        <w:rPr>
          <w:rFonts w:hint="eastAsia" w:ascii="宋体" w:hAnsi="宋体" w:eastAsia="宋体" w:cs="宋体"/>
          <w:sz w:val="24"/>
          <w:szCs w:val="24"/>
          <w:highlight w:val="none"/>
          <w:lang w:val="en-US" w:eastAsia="zh-CN"/>
        </w:rPr>
        <w:t>联系人：</w:t>
      </w:r>
      <w:r>
        <w:rPr>
          <w:rFonts w:hint="eastAsia" w:ascii="宋体" w:hAnsi="宋体" w:cs="宋体"/>
          <w:sz w:val="24"/>
          <w:szCs w:val="24"/>
          <w:highlight w:val="none"/>
          <w:lang w:val="en-US" w:eastAsia="zh-CN"/>
        </w:rPr>
        <w:t>徐展</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15829040620</w:t>
      </w:r>
      <w:r>
        <w:rPr>
          <w:rFonts w:hint="eastAsia" w:ascii="宋体" w:hAnsi="宋体" w:eastAsia="宋体" w:cs="宋体"/>
          <w:sz w:val="24"/>
          <w:szCs w:val="24"/>
          <w:highlight w:val="none"/>
          <w:lang w:val="en-US" w:eastAsia="zh-CN"/>
        </w:rPr>
        <w:t xml:space="preserve"> </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lang w:eastAsia="zh-CN"/>
        </w:rPr>
        <w:t>、评审方法</w:t>
      </w:r>
    </w:p>
    <w:tbl>
      <w:tblPr>
        <w:tblStyle w:val="21"/>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796"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19"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223"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796"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796" w:type="dxa"/>
            <w:vAlign w:val="center"/>
          </w:tcPr>
          <w:p>
            <w:pPr>
              <w:pStyle w:val="57"/>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总评价分=商务分</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+业绩分</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+整体设计方案</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+主要设备材料</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cs="宋体"/>
                <w:sz w:val="21"/>
                <w:szCs w:val="21"/>
                <w:lang w:val="en-US" w:eastAsia="zh-CN"/>
              </w:rPr>
              <w:t>+</w:t>
            </w:r>
            <w:r>
              <w:rPr>
                <w:rFonts w:hint="eastAsia" w:ascii="宋体" w:hAnsi="宋体" w:eastAsia="宋体" w:cs="宋体"/>
                <w:sz w:val="21"/>
                <w:szCs w:val="21"/>
              </w:rPr>
              <w:t>质量保证和售后服</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tc>
      </w:tr>
    </w:tbl>
    <w:tbl>
      <w:tblPr>
        <w:tblStyle w:val="21"/>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商务报价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70</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r>
              <w:rPr>
                <w:rFonts w:hint="eastAsia" w:ascii="宋体" w:hAnsi="宋体" w:cs="宋体"/>
                <w:sz w:val="21"/>
                <w:szCs w:val="21"/>
                <w:lang w:val="en-US" w:eastAsia="zh-CN"/>
              </w:rPr>
              <w:t>.</w:t>
            </w:r>
          </w:p>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3.报价得分：最终报价高于投标基准价：每高于基准价1%，扣1分；</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cs="宋体"/>
                <w:sz w:val="21"/>
                <w:szCs w:val="21"/>
                <w:lang w:val="en-US" w:eastAsia="zh-CN"/>
              </w:rPr>
              <w:t>1</w:t>
            </w:r>
            <w:r>
              <w:rPr>
                <w:rFonts w:hint="eastAsia" w:ascii="宋体" w:hAnsi="宋体" w:eastAsia="宋体" w:cs="宋体"/>
                <w:sz w:val="21"/>
                <w:szCs w:val="21"/>
                <w:lang w:eastAsia="zh-CN"/>
              </w:rPr>
              <w:t>分，最高得</w:t>
            </w:r>
            <w:r>
              <w:rPr>
                <w:rFonts w:hint="eastAsia" w:ascii="宋体" w:hAnsi="宋体" w:cs="宋体"/>
                <w:sz w:val="21"/>
                <w:szCs w:val="21"/>
                <w:lang w:val="en-US" w:eastAsia="zh-CN"/>
              </w:rPr>
              <w:t>5</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整体设计方案</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投标产品整体设计/制造方案的先进性、合理性、完整性、安全性以及主要技术性能参数、长周期平稳运行保证措施等方面，在不得低于招标文件要求的基础上进行综合评审，分档赋分（0-</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0</w:t>
            </w:r>
            <w:r>
              <w:rPr>
                <w:rFonts w:hint="eastAsia" w:ascii="宋体" w:hAnsi="宋体" w:eastAsia="宋体" w:cs="宋体"/>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主要设备材料</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所投机组设备按品牌、非品牌优劣程度赋分，技术参数要清楚、明确，综合比较，分档赋分（0-1</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t>质量保证和售后服务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bidi="ar-SA"/>
              </w:rPr>
              <w:t>针对本项目建立了专职机构，配备专门的技术人员，保障设备就位安装及正常投产运行</w:t>
            </w:r>
            <w:r>
              <w:rPr>
                <w:rFonts w:hint="eastAsia" w:ascii="宋体" w:hAnsi="宋体" w:eastAsia="宋体" w:cs="宋体"/>
                <w:sz w:val="21"/>
                <w:szCs w:val="21"/>
                <w:lang w:eastAsia="zh-CN"/>
              </w:rPr>
              <w:t>，以及甲方验收的问题整改</w:t>
            </w:r>
            <w:r>
              <w:rPr>
                <w:rFonts w:hint="eastAsia" w:ascii="宋体" w:hAnsi="宋体" w:eastAsia="宋体" w:cs="宋体"/>
                <w:sz w:val="21"/>
                <w:szCs w:val="21"/>
                <w:lang w:val="en-US" w:eastAsia="zh-CN"/>
              </w:rPr>
              <w:t>承诺</w:t>
            </w:r>
            <w:r>
              <w:rPr>
                <w:rFonts w:hint="eastAsia" w:ascii="宋体" w:hAnsi="宋体" w:eastAsia="宋体" w:cs="宋体"/>
                <w:sz w:val="21"/>
                <w:szCs w:val="21"/>
                <w:lang w:eastAsia="zh-CN"/>
              </w:rPr>
              <w:t>（0-</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r>
    </w:tbl>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依据各单位提交的报价文件，由谈判小组成员依次与递交合格报价单的单位进行谈判，谈判后各单位根据实际情况进行第二次报价。谈判小组依据第二次报价及其他项得分，综合确定本项目合作单位。</w:t>
      </w:r>
    </w:p>
    <w:p>
      <w:pPr>
        <w:spacing w:after="0" w:line="360" w:lineRule="auto"/>
        <w:ind w:firstLine="3600" w:firstLineChars="1500"/>
        <w:rPr>
          <w:rFonts w:hint="eastAsia" w:ascii="宋体" w:hAnsi="宋体" w:cs="宋体"/>
          <w:sz w:val="24"/>
          <w:szCs w:val="24"/>
          <w:lang w:val="en-US" w:eastAsia="zh-CN"/>
        </w:rPr>
      </w:pPr>
      <w:r>
        <w:rPr>
          <w:rFonts w:hint="eastAsia" w:ascii="宋体" w:hAnsi="宋体" w:eastAsia="宋体" w:cs="宋体"/>
          <w:sz w:val="24"/>
          <w:szCs w:val="24"/>
          <w:lang w:eastAsia="zh-CN"/>
        </w:rPr>
        <w:t xml:space="preserve"> </w:t>
      </w:r>
      <w:r>
        <w:rPr>
          <w:rFonts w:hint="eastAsia" w:ascii="宋体" w:hAnsi="宋体" w:cs="宋体"/>
          <w:sz w:val="24"/>
          <w:szCs w:val="24"/>
          <w:lang w:val="en-US" w:eastAsia="zh-CN"/>
        </w:rPr>
        <w:t xml:space="preserve">   </w:t>
      </w:r>
    </w:p>
    <w:p>
      <w:pPr>
        <w:spacing w:after="0" w:line="360" w:lineRule="auto"/>
        <w:ind w:firstLine="3600" w:firstLineChars="1500"/>
        <w:rPr>
          <w:rFonts w:hint="eastAsia" w:ascii="宋体" w:hAnsi="宋体" w:cs="宋体"/>
          <w:sz w:val="24"/>
          <w:szCs w:val="24"/>
          <w:lang w:val="en-US" w:eastAsia="zh-CN"/>
        </w:rPr>
      </w:pP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ascii="宋体" w:hAnsi="宋体" w:eastAsia="宋体" w:cs="宋体"/>
          <w:b/>
          <w:bCs/>
          <w:sz w:val="32"/>
          <w:szCs w:val="32"/>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lang w:eastAsia="zh-CN"/>
        </w:rPr>
        <w:t>日</w:t>
      </w:r>
      <w:r>
        <w:rPr>
          <w:rFonts w:hint="eastAsia" w:ascii="宋体" w:hAnsi="宋体" w:eastAsia="宋体" w:cs="宋体"/>
          <w:b/>
          <w:bCs/>
          <w:sz w:val="24"/>
          <w:szCs w:val="24"/>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rPr>
          <w:rFonts w:hint="eastAsia" w:ascii="宋体" w:hAnsi="宋体" w:cs="宋体"/>
          <w:b/>
          <w:bCs/>
          <w:sz w:val="36"/>
          <w:szCs w:val="36"/>
          <w:highlight w:val="none"/>
          <w:lang w:val="en-US" w:eastAsia="zh-CN"/>
        </w:rPr>
      </w:pPr>
      <w:r>
        <w:rPr>
          <w:rFonts w:hint="eastAsia" w:ascii="宋体" w:hAnsi="宋体" w:cs="宋体"/>
          <w:b/>
          <w:bCs/>
          <w:sz w:val="36"/>
          <w:szCs w:val="36"/>
          <w:highlight w:val="none"/>
          <w:lang w:val="en-US" w:eastAsia="zh-CN"/>
        </w:rPr>
        <w:br w:type="page"/>
      </w:r>
    </w:p>
    <w:p>
      <w:pPr>
        <w:spacing w:after="0" w:line="580" w:lineRule="exact"/>
        <w:ind w:firstLine="5140" w:firstLineChars="1600"/>
        <w:jc w:val="right"/>
        <w:rPr>
          <w:rFonts w:hint="eastAsia" w:ascii="宋体" w:hAnsi="宋体" w:eastAsia="宋体" w:cs="宋体"/>
          <w:bCs/>
          <w:sz w:val="32"/>
          <w:szCs w:val="32"/>
          <w:lang w:eastAsia="zh-CN"/>
        </w:rPr>
      </w:pPr>
      <w:r>
        <w:rPr>
          <w:rFonts w:hint="eastAsia" w:ascii="宋体" w:hAnsi="宋体" w:eastAsia="宋体" w:cs="宋体"/>
          <w:b/>
          <w:sz w:val="32"/>
          <w:szCs w:val="32"/>
          <w:lang w:eastAsia="zh-CN"/>
        </w:rPr>
        <w:t>（正本/副本）</w:t>
      </w:r>
    </w:p>
    <w:p>
      <w:pPr>
        <w:jc w:val="right"/>
        <w:rPr>
          <w:rFonts w:hint="eastAsia" w:ascii="宋体" w:hAnsi="宋体" w:eastAsia="宋体" w:cs="宋体"/>
          <w:b/>
          <w:sz w:val="32"/>
          <w:szCs w:val="32"/>
          <w:lang w:eastAsia="zh-CN"/>
        </w:rPr>
      </w:pPr>
    </w:p>
    <w:p>
      <w:pPr>
        <w:keepNext w:val="0"/>
        <w:keepLines w:val="0"/>
        <w:pageBreakBefore w:val="0"/>
        <w:widowControl/>
        <w:kinsoku/>
        <w:wordWrap/>
        <w:overflowPunct/>
        <w:topLinePunct w:val="0"/>
        <w:autoSpaceDE/>
        <w:autoSpaceDN/>
        <w:bidi w:val="0"/>
        <w:adjustRightInd/>
        <w:snapToGrid/>
        <w:spacing w:after="0" w:line="72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pStyle w:val="51"/>
        <w:numPr>
          <w:ilvl w:val="0"/>
          <w:numId w:val="0"/>
        </w:numPr>
        <w:spacing w:after="0" w:line="240" w:lineRule="auto"/>
        <w:ind w:leftChars="0"/>
        <w:jc w:val="center"/>
        <w:rPr>
          <w:rFonts w:hint="eastAsia" w:ascii="宋体" w:hAnsi="宋体" w:eastAsia="宋体" w:cs="宋体"/>
          <w:b/>
          <w:bCs/>
          <w:sz w:val="52"/>
          <w:szCs w:val="52"/>
          <w:highlight w:val="none"/>
          <w:lang w:val="en-US" w:eastAsia="zh-CN"/>
        </w:rPr>
      </w:pPr>
      <w:r>
        <w:rPr>
          <w:rFonts w:hint="eastAsia" w:ascii="宋体" w:hAnsi="宋体" w:eastAsia="宋体" w:cs="宋体"/>
          <w:b/>
          <w:bCs/>
          <w:kern w:val="2"/>
          <w:sz w:val="52"/>
          <w:szCs w:val="52"/>
          <w:lang w:val="en-US" w:eastAsia="zh-CN" w:bidi="ar-SA"/>
        </w:rPr>
        <w:t>咸阳市热力公司利用热电联产热网新建及改建项目二期工程2024年换热站换热机组设备采购采购投标文件</w:t>
      </w:r>
    </w:p>
    <w:p>
      <w:pPr>
        <w:pStyle w:val="5"/>
        <w:widowControl w:val="0"/>
        <w:snapToGrid w:val="0"/>
        <w:spacing w:before="0" w:after="0" w:line="360" w:lineRule="auto"/>
        <w:rPr>
          <w:rFonts w:hint="eastAsia" w:ascii="宋体" w:hAnsi="宋体" w:eastAsia="宋体" w:cs="宋体"/>
          <w:bCs/>
          <w:kern w:val="2"/>
          <w:sz w:val="40"/>
          <w:szCs w:val="40"/>
          <w:lang w:eastAsia="zh-CN"/>
        </w:rPr>
      </w:pPr>
    </w:p>
    <w:p>
      <w:pPr>
        <w:pStyle w:val="5"/>
        <w:widowControl w:val="0"/>
        <w:snapToGrid w:val="0"/>
        <w:spacing w:before="0" w:after="0" w:line="360" w:lineRule="auto"/>
        <w:rPr>
          <w:rFonts w:hint="eastAsia" w:ascii="宋体" w:hAnsi="宋体" w:eastAsia="宋体" w:cs="宋体"/>
          <w:bCs/>
          <w:kern w:val="2"/>
          <w:sz w:val="40"/>
          <w:szCs w:val="40"/>
          <w:lang w:eastAsia="zh-CN"/>
        </w:rPr>
      </w:pPr>
    </w:p>
    <w:p>
      <w:pPr>
        <w:jc w:val="center"/>
        <w:rPr>
          <w:rFonts w:hint="eastAsia" w:ascii="宋体" w:hAnsi="宋体" w:eastAsia="宋体" w:cs="宋体"/>
          <w:b/>
          <w:bCs/>
          <w:sz w:val="44"/>
          <w:szCs w:val="44"/>
          <w:lang w:eastAsia="zh-CN"/>
        </w:rPr>
      </w:pPr>
    </w:p>
    <w:p>
      <w:pPr>
        <w:pStyle w:val="2"/>
        <w:rPr>
          <w:rFonts w:hint="eastAsia" w:ascii="宋体" w:hAnsi="宋体" w:eastAsia="宋体" w:cs="宋体"/>
          <w:b/>
          <w:bCs/>
          <w:sz w:val="44"/>
          <w:szCs w:val="44"/>
          <w:lang w:eastAsia="zh-CN"/>
        </w:rPr>
      </w:pPr>
    </w:p>
    <w:p>
      <w:pPr>
        <w:pStyle w:val="2"/>
        <w:rPr>
          <w:rFonts w:hint="eastAsia" w:ascii="宋体" w:hAnsi="宋体" w:eastAsia="宋体" w:cs="宋体"/>
          <w:b/>
          <w:bCs/>
          <w:sz w:val="44"/>
          <w:szCs w:val="44"/>
          <w:lang w:eastAsia="zh-CN"/>
        </w:rPr>
      </w:pPr>
    </w:p>
    <w:p>
      <w:pPr>
        <w:rPr>
          <w:rFonts w:hint="eastAsia" w:ascii="宋体" w:hAnsi="宋体" w:eastAsia="宋体" w:cs="宋体"/>
          <w:lang w:eastAsia="zh-CN"/>
        </w:rPr>
      </w:pPr>
    </w:p>
    <w:p>
      <w:pPr>
        <w:rPr>
          <w:rFonts w:hint="eastAsia" w:ascii="宋体" w:hAnsi="宋体" w:eastAsia="宋体" w:cs="宋体"/>
          <w:b/>
          <w:bCs/>
          <w:sz w:val="44"/>
          <w:szCs w:val="44"/>
          <w:lang w:eastAsia="zh-CN"/>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报价一览表</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分项报价表</w:t>
      </w:r>
      <w:r>
        <w:rPr>
          <w:rFonts w:hint="eastAsia" w:ascii="宋体" w:hAnsi="宋体" w:cs="宋体"/>
          <w:b/>
          <w:bCs/>
          <w:spacing w:val="4"/>
          <w:sz w:val="28"/>
          <w:szCs w:val="28"/>
          <w:lang w:eastAsia="zh-CN"/>
        </w:rPr>
        <w:t>（</w:t>
      </w:r>
      <w:r>
        <w:rPr>
          <w:rFonts w:hint="eastAsia" w:ascii="宋体" w:hAnsi="宋体" w:cs="宋体"/>
          <w:b/>
          <w:bCs/>
          <w:spacing w:val="4"/>
          <w:sz w:val="28"/>
          <w:szCs w:val="28"/>
          <w:lang w:val="en-US" w:eastAsia="zh-CN"/>
        </w:rPr>
        <w:t>主要设备清单报价表</w:t>
      </w:r>
      <w:r>
        <w:rPr>
          <w:rFonts w:hint="eastAsia" w:ascii="宋体" w:hAnsi="宋体" w:cs="宋体"/>
          <w:b/>
          <w:bCs/>
          <w:spacing w:val="4"/>
          <w:sz w:val="28"/>
          <w:szCs w:val="28"/>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厂家授权书</w:t>
      </w:r>
      <w:r>
        <w:rPr>
          <w:rFonts w:hint="eastAsia" w:cs="宋体"/>
          <w:b/>
          <w:bCs/>
          <w:spacing w:val="4"/>
          <w:sz w:val="28"/>
          <w:szCs w:val="28"/>
          <w:lang w:eastAsia="zh-CN"/>
        </w:rPr>
        <w:t>、资质证明文件等其他证明资料</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r>
        <w:rPr>
          <w:rFonts w:hint="eastAsia" w:cs="宋体"/>
          <w:b/>
          <w:bCs/>
          <w:spacing w:val="4"/>
          <w:sz w:val="28"/>
          <w:szCs w:val="28"/>
          <w:lang w:eastAsia="zh-CN"/>
        </w:rPr>
        <w:t>（复印件加盖公章）</w:t>
      </w:r>
    </w:p>
    <w:p>
      <w:pPr>
        <w:ind w:firstLine="578" w:firstLineChars="200"/>
        <w:rPr>
          <w:rFonts w:hint="eastAsia" w:cs="宋体"/>
          <w:b/>
          <w:bCs/>
          <w:spacing w:val="4"/>
          <w:sz w:val="28"/>
          <w:szCs w:val="28"/>
          <w:lang w:val="en-US" w:eastAsia="zh-CN"/>
        </w:rPr>
      </w:pPr>
      <w:r>
        <w:rPr>
          <w:rFonts w:hint="eastAsia" w:cs="宋体"/>
          <w:b/>
          <w:bCs/>
          <w:spacing w:val="4"/>
          <w:sz w:val="28"/>
          <w:szCs w:val="28"/>
          <w:lang w:val="en-US" w:eastAsia="zh-CN"/>
        </w:rPr>
        <w:t>七、整体方案设计</w:t>
      </w:r>
    </w:p>
    <w:p>
      <w:pPr>
        <w:ind w:firstLine="578" w:firstLineChars="200"/>
        <w:rPr>
          <w:rFonts w:hint="default" w:eastAsia="宋体" w:cs="宋体"/>
          <w:b/>
          <w:bCs/>
          <w:spacing w:val="4"/>
          <w:sz w:val="28"/>
          <w:szCs w:val="28"/>
          <w:lang w:val="en-US" w:eastAsia="zh-CN"/>
        </w:rPr>
      </w:pPr>
      <w:r>
        <w:rPr>
          <w:rFonts w:hint="eastAsia" w:eastAsia="宋体" w:cs="宋体"/>
          <w:b/>
          <w:bCs/>
          <w:spacing w:val="4"/>
          <w:sz w:val="28"/>
          <w:szCs w:val="28"/>
          <w:lang w:val="en-US" w:eastAsia="zh-CN"/>
        </w:rPr>
        <w:t>八、</w:t>
      </w:r>
      <w:r>
        <w:rPr>
          <w:rFonts w:hint="default" w:eastAsia="宋体" w:cs="宋体"/>
          <w:b/>
          <w:bCs/>
          <w:spacing w:val="4"/>
          <w:sz w:val="28"/>
          <w:szCs w:val="28"/>
          <w:lang w:val="en-US" w:eastAsia="zh-CN"/>
        </w:rPr>
        <w:t>主要设备材料</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578" w:firstLineChars="200"/>
        <w:textAlignment w:val="auto"/>
        <w:rPr>
          <w:rFonts w:ascii="宋体" w:hAnsi="宋体" w:eastAsia="宋体" w:cs="宋体"/>
          <w:b/>
          <w:bCs/>
          <w:spacing w:val="4"/>
          <w:sz w:val="28"/>
          <w:szCs w:val="28"/>
          <w:lang w:eastAsia="zh-CN"/>
        </w:rPr>
      </w:pPr>
      <w:bookmarkStart w:id="2" w:name="_Hlk69461859"/>
      <w:r>
        <w:rPr>
          <w:rFonts w:hint="eastAsia" w:cs="宋体"/>
          <w:b/>
          <w:bCs/>
          <w:spacing w:val="4"/>
          <w:sz w:val="28"/>
          <w:szCs w:val="28"/>
          <w:lang w:val="en-US" w:eastAsia="zh-CN"/>
        </w:rPr>
        <w:t>九、</w:t>
      </w:r>
      <w:r>
        <w:rPr>
          <w:rFonts w:hint="eastAsia" w:ascii="宋体" w:hAnsi="宋体" w:eastAsia="宋体" w:cs="宋体"/>
          <w:b/>
          <w:bCs/>
          <w:spacing w:val="4"/>
          <w:sz w:val="28"/>
          <w:szCs w:val="28"/>
          <w:lang w:eastAsia="zh-CN"/>
        </w:rPr>
        <w:t>信用证明资料</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200"/>
        <w:textAlignment w:val="auto"/>
        <w:rPr>
          <w:rFonts w:hint="eastAsia" w:ascii="宋体" w:hAnsi="宋体" w:eastAsia="宋体" w:cs="宋体"/>
          <w:b/>
          <w:bCs/>
          <w:spacing w:val="4"/>
          <w:sz w:val="28"/>
          <w:szCs w:val="28"/>
          <w:lang w:eastAsia="zh-CN"/>
        </w:rPr>
      </w:pPr>
      <w:r>
        <w:rPr>
          <w:rFonts w:hint="eastAsia" w:cs="宋体"/>
          <w:b/>
          <w:bCs/>
          <w:spacing w:val="4"/>
          <w:sz w:val="28"/>
          <w:szCs w:val="28"/>
          <w:lang w:val="en-US" w:eastAsia="zh-CN"/>
        </w:rPr>
        <w:t>十、</w:t>
      </w:r>
      <w:r>
        <w:rPr>
          <w:rFonts w:hint="eastAsia" w:ascii="宋体" w:hAnsi="宋体" w:eastAsia="宋体" w:cs="宋体"/>
          <w:b/>
          <w:bCs/>
          <w:spacing w:val="4"/>
          <w:sz w:val="28"/>
          <w:szCs w:val="28"/>
          <w:lang w:eastAsia="zh-CN"/>
        </w:rPr>
        <w:t>质量保证和售后服务</w:t>
      </w:r>
    </w:p>
    <w:bookmarkEnd w:id="2"/>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200"/>
        <w:textAlignment w:val="auto"/>
        <w:rPr>
          <w:rFonts w:ascii="宋体" w:hAnsi="宋体" w:eastAsia="宋体" w:cs="宋体"/>
          <w:b/>
          <w:bCs/>
          <w:sz w:val="28"/>
          <w:szCs w:val="28"/>
          <w:lang w:eastAsia="zh-CN"/>
        </w:rPr>
      </w:pPr>
      <w:r>
        <w:rPr>
          <w:rFonts w:hint="eastAsia" w:cs="宋体"/>
          <w:b/>
          <w:bCs/>
          <w:sz w:val="28"/>
          <w:szCs w:val="28"/>
          <w:lang w:val="en-US" w:eastAsia="zh-CN"/>
        </w:rPr>
        <w:t>十一、</w:t>
      </w:r>
      <w:r>
        <w:rPr>
          <w:rFonts w:hint="eastAsia" w:ascii="宋体" w:hAnsi="宋体" w:eastAsia="宋体" w:cs="宋体"/>
          <w:b/>
          <w:bCs/>
          <w:sz w:val="28"/>
          <w:szCs w:val="28"/>
          <w:lang w:eastAsia="zh-CN"/>
        </w:rPr>
        <w:t>竞争性谈判报价回执</w:t>
      </w:r>
    </w:p>
    <w:p>
      <w:pPr>
        <w:rPr>
          <w:rFonts w:hint="eastAsia" w:ascii="仿宋" w:hAnsi="仿宋" w:eastAsia="仿宋" w:cstheme="majorEastAsia"/>
          <w:b/>
          <w:bCs/>
          <w:sz w:val="44"/>
          <w:szCs w:val="44"/>
          <w:lang w:val="en-US" w:eastAsia="zh-CN"/>
        </w:rPr>
      </w:pPr>
      <w:r>
        <w:rPr>
          <w:rFonts w:hint="eastAsia" w:ascii="仿宋" w:hAnsi="仿宋" w:eastAsia="仿宋" w:cstheme="majorEastAsia"/>
          <w:b/>
          <w:bCs/>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spacing w:line="24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color w:val="auto"/>
          <w:sz w:val="28"/>
          <w:szCs w:val="28"/>
          <w:u w:val="single"/>
          <w:lang w:val="en-US" w:eastAsia="zh-CN"/>
        </w:rPr>
        <w:t xml:space="preserve"> 咸阳市热力公司利用热电联产热网新建及改建项目二期工程</w:t>
      </w:r>
      <w:r>
        <w:rPr>
          <w:rFonts w:hint="eastAsia" w:ascii="宋体" w:hAnsi="宋体" w:cs="宋体"/>
          <w:color w:val="auto"/>
          <w:sz w:val="28"/>
          <w:szCs w:val="28"/>
          <w:u w:val="single"/>
          <w:lang w:val="en-US" w:eastAsia="zh-CN"/>
        </w:rPr>
        <w:t>2024年换热站换热机组设备</w:t>
      </w:r>
      <w:r>
        <w:rPr>
          <w:rFonts w:hint="eastAsia" w:ascii="宋体" w:hAnsi="宋体" w:eastAsia="宋体" w:cs="宋体"/>
          <w:color w:val="auto"/>
          <w:sz w:val="28"/>
          <w:szCs w:val="28"/>
          <w:u w:val="single"/>
          <w:lang w:val="en-US" w:eastAsia="zh-CN"/>
        </w:rPr>
        <w:t>采购</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360" w:lineRule="auto"/>
        <w:outlineLvl w:val="1"/>
        <w:rPr>
          <w:rFonts w:hint="eastAsia" w:ascii="仿宋_GB2312" w:hAnsi="宋体" w:eastAsia="仿宋_GB2312"/>
          <w:color w:val="auto"/>
          <w:spacing w:val="4"/>
          <w:sz w:val="24"/>
        </w:rPr>
      </w:pPr>
    </w:p>
    <w:p>
      <w:pPr>
        <w:pStyle w:val="8"/>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4" w:type="default"/>
          <w:pgSz w:w="11906" w:h="16838"/>
          <w:pgMar w:top="2098" w:right="1474" w:bottom="1928" w:left="1587" w:header="851" w:footer="992" w:gutter="0"/>
          <w:pgNumType w:fmt="decimal"/>
          <w:cols w:space="720" w:num="1"/>
          <w:docGrid w:type="lines" w:linePitch="312" w:charSpace="0"/>
        </w:sectPr>
      </w:pPr>
    </w:p>
    <w:p>
      <w:pPr>
        <w:spacing w:line="240" w:lineRule="auto"/>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kern w:val="2"/>
          <w:sz w:val="32"/>
          <w:szCs w:val="32"/>
          <w:highlight w:val="none"/>
          <w:lang w:val="en-US" w:eastAsia="zh-CN" w:bidi="ar-SA"/>
        </w:rPr>
        <w:t>咸阳市热力公司利用热电联产热网新建及改建项目二期工程2024年换热站换热机组设备采购</w:t>
      </w:r>
      <w:r>
        <w:rPr>
          <w:rFonts w:hint="eastAsia" w:ascii="宋体" w:hAnsi="宋体" w:eastAsia="宋体" w:cs="宋体"/>
          <w:b/>
          <w:bCs/>
          <w:sz w:val="32"/>
          <w:szCs w:val="32"/>
          <w:highlight w:val="none"/>
          <w:lang w:eastAsia="zh-CN"/>
        </w:rPr>
        <w:t>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 xml:space="preserve"> 单位：元</w:t>
      </w:r>
    </w:p>
    <w:tbl>
      <w:tblPr>
        <w:tblStyle w:val="21"/>
        <w:tblW w:w="97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463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880"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4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ind w:firstLine="560" w:firstLineChars="200"/>
              <w:jc w:val="center"/>
              <w:rPr>
                <w:rFonts w:ascii="宋体" w:hAnsi="宋体" w:eastAsia="宋体" w:cs="宋体"/>
                <w:sz w:val="28"/>
                <w:szCs w:val="28"/>
                <w:lang w:eastAsia="zh-CN"/>
              </w:rPr>
            </w:pPr>
            <w:r>
              <w:rPr>
                <w:rFonts w:hint="eastAsia" w:ascii="宋体" w:hAnsi="宋体" w:eastAsia="宋体" w:cs="宋体"/>
                <w:sz w:val="28"/>
                <w:szCs w:val="28"/>
                <w:lang w:eastAsia="zh-CN"/>
              </w:rPr>
              <w:t>项目报价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rPr>
                <w:rFonts w:ascii="宋体" w:hAnsi="宋体" w:eastAsia="宋体" w:cs="宋体"/>
                <w:sz w:val="28"/>
                <w:szCs w:val="28"/>
              </w:rPr>
            </w:pPr>
            <w:r>
              <w:rPr>
                <w:rFonts w:hint="eastAsia" w:ascii="宋体" w:hAnsi="宋体" w:eastAsia="宋体" w:cs="宋体"/>
                <w:sz w:val="28"/>
                <w:szCs w:val="28"/>
                <w:lang w:eastAsia="zh-CN"/>
              </w:rPr>
              <w:t>供货周期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trPr>
        <w:tc>
          <w:tcPr>
            <w:tcW w:w="2880" w:type="dxa"/>
            <w:vAlign w:val="center"/>
          </w:tcPr>
          <w:p>
            <w:pPr>
              <w:keepNext w:val="0"/>
              <w:keepLines w:val="0"/>
              <w:pageBreakBefore w:val="0"/>
              <w:wordWrap/>
              <w:bidi w:val="0"/>
              <w:spacing w:after="0" w:line="240" w:lineRule="auto"/>
              <w:ind w:firstLine="560" w:firstLineChars="200"/>
              <w:jc w:val="both"/>
              <w:rPr>
                <w:rFonts w:ascii="宋体" w:hAnsi="宋体" w:eastAsia="宋体" w:cs="宋体"/>
                <w:sz w:val="28"/>
                <w:szCs w:val="28"/>
                <w:u w:val="single"/>
                <w:lang w:eastAsia="zh-CN"/>
              </w:rPr>
            </w:pPr>
          </w:p>
          <w:p>
            <w:pPr>
              <w:keepNext w:val="0"/>
              <w:keepLines w:val="0"/>
              <w:pageBreakBefore w:val="0"/>
              <w:wordWrap/>
              <w:bidi w:val="0"/>
              <w:spacing w:after="0" w:line="240" w:lineRule="auto"/>
              <w:jc w:val="center"/>
              <w:rPr>
                <w:rFonts w:ascii="宋体" w:hAnsi="宋体" w:eastAsia="宋体" w:cs="宋体"/>
                <w:sz w:val="28"/>
                <w:szCs w:val="28"/>
                <w:lang w:eastAsia="zh-CN"/>
              </w:rPr>
            </w:pPr>
            <w:r>
              <w:rPr>
                <w:rFonts w:hint="eastAsia" w:ascii="宋体" w:hAnsi="宋体" w:cs="宋体"/>
                <w:sz w:val="28"/>
                <w:szCs w:val="28"/>
                <w:lang w:val="en-US" w:eastAsia="zh-CN"/>
              </w:rPr>
              <w:t>换热机组设备</w:t>
            </w:r>
            <w:r>
              <w:rPr>
                <w:rFonts w:hint="eastAsia" w:ascii="宋体" w:hAnsi="宋体" w:eastAsia="宋体" w:cs="宋体"/>
                <w:sz w:val="28"/>
                <w:szCs w:val="28"/>
                <w:lang w:eastAsia="zh-CN"/>
              </w:rPr>
              <w:t>采购</w:t>
            </w:r>
          </w:p>
          <w:p>
            <w:pPr>
              <w:keepNext w:val="0"/>
              <w:keepLines w:val="0"/>
              <w:pageBreakBefore w:val="0"/>
              <w:wordWrap/>
              <w:bidi w:val="0"/>
              <w:spacing w:after="0" w:line="240" w:lineRule="auto"/>
              <w:ind w:firstLine="560" w:firstLineChars="200"/>
              <w:jc w:val="center"/>
              <w:rPr>
                <w:rFonts w:ascii="宋体" w:hAnsi="宋体" w:eastAsia="宋体" w:cs="宋体"/>
                <w:sz w:val="28"/>
                <w:szCs w:val="28"/>
              </w:rPr>
            </w:pPr>
          </w:p>
        </w:tc>
        <w:tc>
          <w:tcPr>
            <w:tcW w:w="4631" w:type="dxa"/>
            <w:vAlign w:val="center"/>
          </w:tcPr>
          <w:p>
            <w:pPr>
              <w:keepNext w:val="0"/>
              <w:keepLines w:val="0"/>
              <w:pageBreakBefore w:val="0"/>
              <w:wordWrap/>
              <w:bidi w:val="0"/>
              <w:spacing w:after="0" w:line="240" w:lineRule="auto"/>
              <w:rPr>
                <w:rFonts w:ascii="宋体" w:hAnsi="宋体" w:eastAsia="宋体" w:cs="宋体"/>
                <w:sz w:val="28"/>
                <w:szCs w:val="28"/>
                <w:lang w:eastAsia="zh-CN"/>
              </w:rPr>
            </w:pPr>
            <w:r>
              <w:rPr>
                <w:rFonts w:hint="eastAsia" w:ascii="宋体" w:hAnsi="宋体" w:eastAsia="宋体" w:cs="宋体"/>
                <w:sz w:val="28"/>
                <w:szCs w:val="28"/>
                <w:lang w:eastAsia="zh-CN"/>
              </w:rPr>
              <w:t>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元，人民币大写：</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，其中不含税金额：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元，税额：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none"/>
                <w:lang w:eastAsia="zh-CN"/>
              </w:rPr>
              <w:t>元，</w:t>
            </w:r>
            <w:r>
              <w:rPr>
                <w:rFonts w:hint="eastAsia" w:ascii="宋体" w:hAnsi="宋体" w:eastAsia="宋体" w:cs="宋体"/>
                <w:sz w:val="28"/>
                <w:szCs w:val="28"/>
                <w:lang w:eastAsia="zh-CN"/>
              </w:rPr>
              <w:t>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w:t>
            </w:r>
          </w:p>
        </w:tc>
        <w:tc>
          <w:tcPr>
            <w:tcW w:w="2209"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trPr>
        <w:tc>
          <w:tcPr>
            <w:tcW w:w="2880" w:type="dxa"/>
            <w:vAlign w:val="center"/>
          </w:tcPr>
          <w:p>
            <w:pPr>
              <w:keepNext w:val="0"/>
              <w:keepLines w:val="0"/>
              <w:pageBreakBefore w:val="0"/>
              <w:wordWrap/>
              <w:bidi w:val="0"/>
              <w:spacing w:after="0" w:line="240" w:lineRule="auto"/>
              <w:ind w:firstLine="560" w:firstLineChars="200"/>
              <w:jc w:val="both"/>
              <w:rPr>
                <w:rFonts w:hint="default" w:ascii="宋体" w:hAnsi="宋体" w:eastAsia="宋体" w:cs="宋体"/>
                <w:sz w:val="28"/>
                <w:szCs w:val="28"/>
                <w:lang w:val="en-US" w:eastAsia="zh-CN"/>
              </w:rPr>
            </w:pPr>
            <w:r>
              <w:rPr>
                <w:rFonts w:hint="eastAsia" w:ascii="宋体" w:hAnsi="宋体" w:cs="宋体"/>
                <w:sz w:val="28"/>
                <w:szCs w:val="28"/>
                <w:lang w:val="en-US" w:eastAsia="zh-CN"/>
              </w:rPr>
              <w:t>主要设备品牌</w:t>
            </w:r>
          </w:p>
        </w:tc>
        <w:tc>
          <w:tcPr>
            <w:tcW w:w="6840"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1.板式换热器：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2.变频器：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3.水泵：</w:t>
            </w:r>
          </w:p>
          <w:p>
            <w:pPr>
              <w:pStyle w:val="2"/>
              <w:keepNext w:val="0"/>
              <w:keepLines w:val="0"/>
              <w:pageBreakBefore w:val="0"/>
              <w:kinsoku/>
              <w:wordWrap/>
              <w:overflowPunct/>
              <w:topLinePunct w:val="0"/>
              <w:autoSpaceDE/>
              <w:autoSpaceDN/>
              <w:bidi w:val="0"/>
              <w:adjustRightInd/>
              <w:snapToGrid/>
              <w:spacing w:before="0" w:beforeAutospacing="0" w:after="0" w:afterAutospacing="0"/>
              <w:ind w:left="0" w:leftChars="0" w:firstLine="0" w:firstLine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4.电动调节阀：</w:t>
            </w:r>
          </w:p>
          <w:p>
            <w:pPr>
              <w:pStyle w:val="2"/>
              <w:keepNext w:val="0"/>
              <w:keepLines w:val="0"/>
              <w:pageBreakBefore w:val="0"/>
              <w:kinsoku/>
              <w:wordWrap/>
              <w:overflowPunct/>
              <w:topLinePunct w:val="0"/>
              <w:autoSpaceDE/>
              <w:autoSpaceDN/>
              <w:bidi w:val="0"/>
              <w:adjustRightInd/>
              <w:snapToGrid/>
              <w:spacing w:before="0" w:beforeAutospacing="0" w:after="0" w:afterAutospacing="0"/>
              <w:ind w:left="0" w:leftChars="0" w:firstLine="0" w:firstLineChars="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5.温度表；</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sz w:val="22"/>
                <w:szCs w:val="28"/>
                <w:lang w:val="en-US" w:eastAsia="zh-CN"/>
              </w:rPr>
            </w:pPr>
            <w:r>
              <w:rPr>
                <w:rFonts w:hint="eastAsia" w:ascii="宋体" w:hAnsi="宋体" w:eastAsia="宋体" w:cs="宋体"/>
                <w:b w:val="0"/>
                <w:bCs w:val="0"/>
                <w:sz w:val="28"/>
                <w:szCs w:val="28"/>
                <w:highlight w:val="none"/>
                <w:lang w:val="en-US" w:eastAsia="zh-CN"/>
              </w:rPr>
              <w:t>6.压力表；</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7.压力变送器；</w:t>
            </w:r>
          </w:p>
          <w:p>
            <w:pPr>
              <w:keepNext w:val="0"/>
              <w:keepLines w:val="0"/>
              <w:pageBreakBefore w:val="0"/>
              <w:wordWrap/>
              <w:bidi w:val="0"/>
              <w:spacing w:after="0" w:line="240" w:lineRule="auto"/>
              <w:textAlignment w:val="baseline"/>
              <w:rPr>
                <w:rFonts w:ascii="宋体" w:hAnsi="宋体" w:eastAsia="宋体" w:cs="宋体"/>
                <w:sz w:val="28"/>
                <w:szCs w:val="28"/>
              </w:rPr>
            </w:pPr>
            <w:r>
              <w:rPr>
                <w:rFonts w:hint="eastAsia" w:ascii="宋体" w:hAnsi="宋体" w:eastAsia="宋体" w:cs="宋体"/>
                <w:b w:val="0"/>
                <w:bCs w:val="0"/>
                <w:sz w:val="28"/>
                <w:szCs w:val="28"/>
                <w:highlight w:val="none"/>
                <w:lang w:val="en-US" w:eastAsia="zh-CN"/>
              </w:rPr>
              <w:t>8.温度变送器：</w:t>
            </w:r>
          </w:p>
        </w:tc>
      </w:tr>
    </w:tbl>
    <w:p>
      <w:pPr>
        <w:keepNext w:val="0"/>
        <w:keepLines w:val="0"/>
        <w:pageBreakBefore w:val="0"/>
        <w:widowControl w:val="0"/>
        <w:wordWrap/>
        <w:bidi w:val="0"/>
        <w:adjustRightInd w:val="0"/>
        <w:snapToGrid w:val="0"/>
        <w:spacing w:after="0" w:line="240" w:lineRule="auto"/>
        <w:ind w:firstLine="3080" w:firstLineChars="1100"/>
        <w:jc w:val="both"/>
        <w:rPr>
          <w:rFonts w:ascii="宋体" w:hAnsi="宋体" w:eastAsia="宋体" w:cs="宋体"/>
          <w:sz w:val="28"/>
          <w:szCs w:val="28"/>
        </w:rPr>
      </w:pPr>
      <w:r>
        <w:rPr>
          <w:rFonts w:hint="eastAsia" w:ascii="宋体" w:hAnsi="宋体" w:eastAsia="宋体" w:cs="宋体"/>
          <w:sz w:val="28"/>
          <w:szCs w:val="28"/>
          <w:lang w:eastAsia="zh-CN"/>
        </w:rPr>
        <w:t>谈判响应单位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p>
    <w:p>
      <w:pPr>
        <w:keepNext w:val="0"/>
        <w:keepLines w:val="0"/>
        <w:pageBreakBefore w:val="0"/>
        <w:widowControl w:val="0"/>
        <w:wordWrap/>
        <w:bidi w:val="0"/>
        <w:adjustRightInd w:val="0"/>
        <w:snapToGrid w:val="0"/>
        <w:spacing w:after="0" w:line="240" w:lineRule="auto"/>
        <w:ind w:firstLine="1680" w:firstLineChars="6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p>
    <w:p>
      <w:pPr>
        <w:spacing w:line="240" w:lineRule="auto"/>
        <w:jc w:val="center"/>
        <w:rPr>
          <w:rFonts w:hint="eastAsia" w:cs="宋体"/>
          <w:b/>
          <w:bCs/>
          <w:sz w:val="32"/>
          <w:szCs w:val="32"/>
          <w:highlight w:val="yellow"/>
          <w:lang w:eastAsia="zh-CN"/>
        </w:rPr>
      </w:pPr>
      <w:r>
        <w:rPr>
          <w:rFonts w:hint="eastAsia" w:ascii="宋体" w:hAnsi="宋体" w:eastAsia="宋体" w:cs="宋体"/>
          <w:b/>
          <w:bCs/>
          <w:sz w:val="32"/>
          <w:szCs w:val="32"/>
          <w:lang w:val="en-US" w:eastAsia="zh-CN"/>
        </w:rPr>
        <w:t>三、</w:t>
      </w:r>
      <w:r>
        <w:rPr>
          <w:rFonts w:hint="eastAsia" w:ascii="宋体" w:hAnsi="宋体" w:eastAsia="宋体" w:cs="宋体"/>
          <w:b/>
          <w:bCs/>
          <w:kern w:val="0"/>
          <w:sz w:val="32"/>
          <w:szCs w:val="32"/>
          <w:highlight w:val="none"/>
          <w:lang w:val="en-US" w:eastAsia="zh-CN" w:bidi="ar-SA"/>
        </w:rPr>
        <w:t>咸阳市热力公司利用热电联产热网新建及改建项目二期工程2024年换热站换热机组设备采购</w:t>
      </w:r>
      <w:r>
        <w:rPr>
          <w:rFonts w:hint="eastAsia" w:ascii="宋体" w:hAnsi="宋体" w:eastAsia="宋体" w:cs="宋体"/>
          <w:b/>
          <w:bCs/>
          <w:sz w:val="32"/>
          <w:szCs w:val="32"/>
          <w:highlight w:val="none"/>
          <w:lang w:eastAsia="zh-CN"/>
        </w:rPr>
        <w:t>清单</w:t>
      </w:r>
      <w:r>
        <w:rPr>
          <w:rFonts w:hint="eastAsia" w:cs="宋体"/>
          <w:b/>
          <w:bCs/>
          <w:sz w:val="32"/>
          <w:szCs w:val="32"/>
          <w:highlight w:val="none"/>
          <w:lang w:eastAsia="zh-CN"/>
        </w:rPr>
        <w:t>报价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right"/>
        <w:textAlignment w:val="auto"/>
        <w:rPr>
          <w:rFonts w:hint="default" w:cs="宋体"/>
          <w:b/>
          <w:bCs/>
          <w:sz w:val="28"/>
          <w:szCs w:val="28"/>
          <w:lang w:val="en-US" w:eastAsia="zh-CN"/>
        </w:rPr>
      </w:pPr>
      <w:r>
        <w:rPr>
          <w:rFonts w:hint="eastAsia" w:cs="宋体"/>
          <w:b/>
          <w:bCs/>
          <w:sz w:val="28"/>
          <w:szCs w:val="28"/>
          <w:lang w:val="en-US" w:eastAsia="zh-CN"/>
        </w:rPr>
        <w:t xml:space="preserve">                      </w:t>
      </w:r>
      <w:r>
        <w:rPr>
          <w:rFonts w:hint="eastAsia" w:cs="宋体"/>
          <w:b w:val="0"/>
          <w:bCs w:val="0"/>
          <w:sz w:val="24"/>
          <w:szCs w:val="24"/>
          <w:lang w:val="en-US" w:eastAsia="zh-CN"/>
        </w:rPr>
        <w:t xml:space="preserve"> 单位：元</w:t>
      </w:r>
    </w:p>
    <w:tbl>
      <w:tblPr>
        <w:tblStyle w:val="22"/>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53"/>
        <w:gridCol w:w="1307"/>
        <w:gridCol w:w="2838"/>
        <w:gridCol w:w="776"/>
        <w:gridCol w:w="800"/>
        <w:gridCol w:w="817"/>
        <w:gridCol w:w="8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项目名称</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设备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国润翠湖东区换热站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供热量3525kW/套；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供热量2506kW/套；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国润翠湖西区换热站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供热量1549kW/套；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政府一号换热站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供热量7241kW/套；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二次侧70/50℃热水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老干中心换热站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r>
              <w:rPr>
                <w:rFonts w:hint="eastAsia" w:asciiTheme="minorEastAsia" w:hAnsiTheme="minorEastAsia" w:eastAsiaTheme="minorEastAsia" w:cstheme="minorEastAsia"/>
                <w:kern w:val="2"/>
                <w:sz w:val="24"/>
                <w:szCs w:val="24"/>
                <w:lang w:val="en-US" w:eastAsia="zh-CN" w:bidi="ar-SA"/>
              </w:rPr>
              <w:t>。</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财富中心换热站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商业整体式板式换热机组(水-水换热)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供热量5544kW/套；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住宅低区整体式板式换热机组(水-水换热)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供热量2404kW/套；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住宅高区整体式板式换热机组(水-水换热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供热量2581kW/套；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纳富特广场小区换热站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供热量1079kW/套；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11</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供热量1393kW/套；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12</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中医学院高层换热站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供热量1400kW/套；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供热量622kW/套；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七厂一区换热站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供热量11298kW/套；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政府二号换热站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供热量1561kW/套；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中医学院多层换热站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供热量5657kW/套；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color w:val="000000"/>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color w:val="000000"/>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艺龙小区换热站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供热量1117kW/套；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供热量1094kW/套；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澜花语岸换热站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供热量717kW/套；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w:t>
            </w:r>
          </w:p>
        </w:tc>
        <w:tc>
          <w:tcPr>
            <w:tcW w:w="853" w:type="dxa"/>
            <w:vMerge w:val="restart"/>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中央领域换热站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南区整体式板式换热机组(水-水换热)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供热量1063kW/套；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21</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北区高区整体式板式换热机组(水-水换热)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供热量3215kW/套；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22</w:t>
            </w:r>
          </w:p>
        </w:tc>
        <w:tc>
          <w:tcPr>
            <w:tcW w:w="853" w:type="dxa"/>
            <w:vMerge w:val="continue"/>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北区低区整体式板式换热机组(水-水换热)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供热量4923kW/套；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5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23</w:t>
            </w:r>
          </w:p>
        </w:tc>
        <w:tc>
          <w:tcPr>
            <w:tcW w:w="85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统一广场换热站</w:t>
            </w:r>
          </w:p>
        </w:tc>
        <w:tc>
          <w:tcPr>
            <w:tcW w:w="130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283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firstLine="0" w:firstLine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供热量1156kW/套；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p>
        </w:tc>
        <w:tc>
          <w:tcPr>
            <w:tcW w:w="776"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套</w:t>
            </w:r>
          </w:p>
        </w:tc>
        <w:tc>
          <w:tcPr>
            <w:tcW w:w="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817"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558" w:type="dxa"/>
            <w:gridSpan w:val="9"/>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default" w:ascii="宋体" w:hAnsi="宋体" w:eastAsia="宋体" w:cs="宋体"/>
                <w:i w:val="0"/>
                <w:color w:val="000000"/>
                <w:kern w:val="0"/>
                <w:sz w:val="24"/>
                <w:szCs w:val="24"/>
                <w:u w:val="none"/>
                <w:lang w:val="en-US" w:eastAsia="zh-CN" w:bidi="ar"/>
              </w:rPr>
              <w:t>含税总价为：</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元 人民币（大写）</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整，其中，不含税总价：</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 ，增值税税率：</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 ，税金：</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558" w:type="dxa"/>
            <w:gridSpan w:val="9"/>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sz w:val="24"/>
                <w:szCs w:val="24"/>
                <w:vertAlign w:val="baseline"/>
                <w:lang w:val="en-US" w:eastAsia="zh-CN"/>
              </w:rPr>
              <w:t>详见附件（设备清单）</w:t>
            </w:r>
          </w:p>
        </w:tc>
      </w:tr>
    </w:tbl>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lang w:val="en-US" w:eastAsia="zh-CN"/>
        </w:rPr>
        <w:sectPr>
          <w:pgSz w:w="11906" w:h="16838"/>
          <w:pgMar w:top="2098" w:right="1474" w:bottom="1928" w:left="1587" w:header="851" w:footer="992" w:gutter="0"/>
          <w:pgNumType w:fmt="numberInDash" w:start="1"/>
          <w:cols w:space="720"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lang w:eastAsia="zh-CN"/>
        </w:rPr>
      </w:pPr>
      <w:r>
        <w:rPr>
          <w:rFonts w:hint="eastAsia"/>
          <w:b/>
          <w:bCs/>
          <w:sz w:val="32"/>
          <w:szCs w:val="32"/>
          <w:lang w:val="en-US" w:eastAsia="zh-CN"/>
        </w:rPr>
        <w:t xml:space="preserve">                  </w:t>
      </w:r>
      <w:r>
        <w:rPr>
          <w:rFonts w:hint="eastAsia"/>
          <w:b/>
          <w:bCs/>
          <w:sz w:val="32"/>
          <w:szCs w:val="32"/>
          <w:lang w:eastAsia="zh-CN"/>
        </w:rPr>
        <w:t>主要设备清单</w:t>
      </w:r>
      <w:r>
        <w:rPr>
          <w:rFonts w:hint="eastAsia" w:cs="宋体"/>
          <w:b w:val="0"/>
          <w:bCs w:val="0"/>
          <w:sz w:val="24"/>
          <w:szCs w:val="24"/>
          <w:lang w:val="en-US" w:eastAsia="zh-CN"/>
        </w:rPr>
        <w:t xml:space="preserve">                        单位：元</w:t>
      </w:r>
    </w:p>
    <w:tbl>
      <w:tblPr>
        <w:tblStyle w:val="21"/>
        <w:tblW w:w="533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1248"/>
        <w:gridCol w:w="2564"/>
        <w:gridCol w:w="522"/>
        <w:gridCol w:w="468"/>
        <w:gridCol w:w="720"/>
        <w:gridCol w:w="742"/>
        <w:gridCol w:w="101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auto"/>
                <w:kern w:val="0"/>
                <w:sz w:val="24"/>
                <w:szCs w:val="24"/>
                <w:highlight w:val="none"/>
                <w:u w:val="none"/>
                <w:lang w:val="en-US" w:eastAsia="zh-CN" w:bidi="ar"/>
              </w:rPr>
              <w:t>一、</w:t>
            </w:r>
            <w:r>
              <w:rPr>
                <w:rFonts w:hint="eastAsia" w:ascii="宋体" w:hAnsi="宋体" w:eastAsia="宋体" w:cs="宋体"/>
                <w:b/>
                <w:bCs/>
                <w:i w:val="0"/>
                <w:iCs w:val="0"/>
                <w:color w:val="auto"/>
                <w:kern w:val="0"/>
                <w:sz w:val="24"/>
                <w:szCs w:val="24"/>
                <w:highlight w:val="none"/>
                <w:u w:val="none"/>
                <w:lang w:val="en-US" w:eastAsia="zh-CN" w:bidi="ar"/>
              </w:rPr>
              <w:t>政府1号换热站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供热量7241kW/套；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二次侧70/50℃热水。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单台供热量：4700kW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G=400m³/h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补水泵组</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G=8m³/h  H=45m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2"/>
                <w:szCs w:val="32"/>
                <w:u w:val="none"/>
                <w:lang w:val="en-US" w:eastAsia="zh-CN" w:bidi="ar"/>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二、老干中心换热站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三、财富中心换热站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商业整体式板式换热机组(水-水换热)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供热量5544kW/套；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单台供热量：3600kW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G=550m³/h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G=11m³/h  H=60m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供热量2404kW/套；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单台供热量：1600kW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G=5m³/h  H=90m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住宅高区整体式板式换热机组(水-水换热)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供热量2581kW/套；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单台供热量：1700kW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G=265m³/h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G=5.5m³/h  H=119m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四、纳富特广场小区换热站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供热量1079kW/套；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单台供热量：700kW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H=65m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高区低区整体式板式换热机组(水-水换热)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供热量1393kW/套；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单台供热量：900kW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G=145m³/h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G=3m³/h  H=113m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五、七厂一区换热站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供热量11298kW/套；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单台供热量：7500kW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G=300m³/h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G=12m³/h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电机：N=4kW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六、政府二号换热站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供热量1561kW/套；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G=85m³/h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七、艺龙小区小区换热站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单台供热量：1350kW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H=48m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供热量1094kW/套；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单台供热量：1035kW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G=2.5m³/h  H=75m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八、国润翠湖东区换热站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供热量3525kW/套；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单台供热量：2300kW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G=180m³/h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EHR≤0.006605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G=7.2m³/h  H=57m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供热量2506kW/套；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单台供热量：1650kW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G=130m³/h  H=32m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G=5.2m³/h  H=97m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九、国润翠湖西区换热站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供热量2063kW/套；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单台供热量：1350kW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G=200m³/h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G=4m³/h  H=62m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供热量1549kW/套；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单台供热量：1050kW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G=160m³/h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G=3.2m³/h  H=112m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十、中医学院高层换热站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供热量1400kW/套；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单台供热量：900kW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G=140m³/h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G=3m³/h  H=67m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电机：N=2.2kW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供热量622kW/套；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单台供热量：400kW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G=65m³/h  H=30m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电机：N=7.5kW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G=1.5m³/h  H=92m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十一、中医学院多层换热站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供热量5657kW/套；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单台供热量：3700kW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G=300m³/h  H=38m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十二、澜花语岸换热站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供热量717kW/套；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单台供热量：8600kW </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G=40m³/h  H=28m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电机：N=5.5kW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G=1m³/h  H=31m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电机：N=0.37kW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十三、中央领域换热站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南区整体式板式换热机组(水-水换热)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供热量1063kW/套；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单台供热量：700kW</w:t>
            </w:r>
          </w:p>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G=110m³/h  H=28m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电机：N=15kW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EHR≤0.011349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G=2m³/h  H=70m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电机：N=1.1kW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北区高区整体式板式换热机组(水-水换热)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供热量3215kW/套；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单台供热量：2100kW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4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 xml:space="preserve">G=170m³/h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电机：N=30kW  380V</w:t>
            </w:r>
          </w:p>
        </w:tc>
        <w:tc>
          <w:tcPr>
            <w:tcW w:w="27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4"/>
                <w:szCs w:val="24"/>
                <w:u w:val="none"/>
                <w:lang w:val="en-US" w:eastAsia="zh-CN" w:bidi="ar"/>
              </w:rPr>
              <w:t>带变频器，两用一备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EHR≤0.011349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4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G=6m³/h  H=112m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DN125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北区低区整体式板式换热机组(水-水换热)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供热量4923kW/套；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单台供热量：3200kW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循环泵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G=250m³/h  H=35m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电机：N=37kW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带变频器，一用一备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EHR≤0.0005675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补水泵</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G=9m³/h  H=70m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电机：N=3kW  380V</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带变频器，平时一用一备，事故两台同时开启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电动调节阀</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  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电控柜</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8"/>
                <w:szCs w:val="28"/>
                <w:u w:val="none"/>
                <w:lang w:val="en-US" w:eastAsia="zh-CN" w:bidi="ar"/>
              </w:rPr>
              <w:t>小计：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00B0F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十四、统一广场换热站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编号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含税单价</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合价</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品牌</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整体式板式换热机组(水-水换热)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供热量1156kW/套；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一次侧:1.6MPa，130/70℃  (实际95/55℃)热水；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二次侧50/40℃热水。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一次侧蒸汽：0.25MPa，177℃；二次侧50/40℃热水。</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自带变频控制柜和PLC控制系统及汉化人机界面液晶触摸屏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板式换热器(水-水换热)</w:t>
            </w:r>
          </w:p>
        </w:tc>
        <w:tc>
          <w:tcPr>
            <w:tcW w:w="1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单台供热量：750kW</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Pg=1.6MPa</w:t>
            </w:r>
          </w:p>
        </w:tc>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316L不锈钢板式换热器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8"/>
                <w:szCs w:val="28"/>
                <w:u w:val="none"/>
                <w:lang w:val="en-US" w:eastAsia="zh-CN" w:bidi="ar"/>
              </w:rPr>
              <w:t>小计：    元</w:t>
            </w:r>
          </w:p>
        </w:tc>
      </w:tr>
    </w:tbl>
    <w:p>
      <w:pPr>
        <w:pStyle w:val="2"/>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kern w:val="2"/>
          <w:sz w:val="32"/>
          <w:szCs w:val="32"/>
          <w:lang w:val="en-US" w:eastAsia="zh-CN"/>
        </w:rPr>
        <w:t>四</w:t>
      </w:r>
      <w:r>
        <w:rPr>
          <w:rFonts w:hint="eastAsia" w:ascii="宋体" w:hAnsi="宋体" w:eastAsia="宋体" w:cs="宋体"/>
          <w:bCs/>
          <w:kern w:val="2"/>
          <w:sz w:val="32"/>
          <w:szCs w:val="32"/>
          <w:lang w:val="en-US" w:eastAsia="zh-CN"/>
        </w:rPr>
        <w:t>、</w:t>
      </w:r>
      <w:r>
        <w:rPr>
          <w:rFonts w:hint="eastAsia" w:ascii="宋体" w:hAnsi="宋体" w:eastAsia="宋体" w:cs="宋体"/>
          <w:bCs/>
          <w:kern w:val="2"/>
          <w:sz w:val="32"/>
          <w:szCs w:val="32"/>
          <w:lang w:eastAsia="zh-CN"/>
        </w:rPr>
        <w:t>法人代表授权委托书</w:t>
      </w:r>
    </w:p>
    <w:p>
      <w:pPr>
        <w:topLinePunct/>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w:t>
      </w:r>
      <w:r>
        <w:rPr>
          <w:rFonts w:hint="eastAsia" w:ascii="宋体" w:hAnsi="宋体" w:eastAsia="宋体" w:cs="宋体"/>
          <w:sz w:val="28"/>
          <w:szCs w:val="28"/>
          <w:highlight w:val="none"/>
          <w:lang w:eastAsia="zh-CN"/>
        </w:rPr>
        <w:t>改</w:t>
      </w:r>
      <w:r>
        <w:rPr>
          <w:rFonts w:hint="eastAsia" w:ascii="宋体" w:hAnsi="宋体" w:eastAsia="宋体" w:cs="宋体"/>
          <w:kern w:val="2"/>
          <w:sz w:val="28"/>
          <w:szCs w:val="28"/>
          <w:highlight w:val="none"/>
          <w:u w:val="single"/>
          <w:lang w:val="en-US" w:eastAsia="zh-CN"/>
        </w:rPr>
        <w:t>咸阳市热力公司利用热电联产热网新建及改建项目二期工程</w:t>
      </w:r>
      <w:r>
        <w:rPr>
          <w:rFonts w:hint="eastAsia" w:ascii="宋体" w:hAnsi="宋体" w:cs="宋体"/>
          <w:kern w:val="2"/>
          <w:sz w:val="28"/>
          <w:szCs w:val="28"/>
          <w:highlight w:val="none"/>
          <w:u w:val="single"/>
          <w:lang w:val="en-US" w:eastAsia="zh-CN"/>
        </w:rPr>
        <w:t>2024换热站换热机组设备</w:t>
      </w:r>
      <w:r>
        <w:rPr>
          <w:rFonts w:hint="eastAsia" w:ascii="宋体" w:hAnsi="宋体" w:eastAsia="宋体" w:cs="宋体"/>
          <w:kern w:val="2"/>
          <w:sz w:val="28"/>
          <w:szCs w:val="28"/>
          <w:highlight w:val="none"/>
          <w:u w:val="single"/>
          <w:lang w:val="en-US" w:eastAsia="zh-CN"/>
        </w:rPr>
        <w:t>采购</w:t>
      </w:r>
      <w:r>
        <w:rPr>
          <w:rFonts w:hint="eastAsia" w:ascii="宋体" w:hAnsi="宋体" w:eastAsia="宋体" w:cs="宋体"/>
          <w:sz w:val="28"/>
          <w:szCs w:val="28"/>
          <w:highlight w:val="none"/>
          <w:lang w:eastAsia="zh-CN"/>
        </w:rPr>
        <w:t>洽</w:t>
      </w:r>
      <w:r>
        <w:rPr>
          <w:rFonts w:hint="eastAsia" w:ascii="宋体" w:hAnsi="宋体" w:eastAsia="宋体" w:cs="宋体"/>
          <w:sz w:val="28"/>
          <w:szCs w:val="28"/>
          <w:lang w:eastAsia="zh-CN"/>
        </w:rPr>
        <w:t>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jc w:val="center"/>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日</w:t>
      </w: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eastAsia="zh-CN"/>
        </w:rPr>
        <w:t>五</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cs="宋体"/>
          <w:sz w:val="28"/>
          <w:szCs w:val="28"/>
          <w:lang w:val="en-US" w:eastAsia="zh-CN"/>
        </w:rPr>
        <w:t>授权许可、</w:t>
      </w:r>
      <w:r>
        <w:rPr>
          <w:rFonts w:hint="eastAsia" w:ascii="宋体" w:hAnsi="宋体" w:eastAsia="宋体" w:cs="宋体"/>
          <w:sz w:val="28"/>
          <w:szCs w:val="28"/>
        </w:rPr>
        <w:t>营业执照、开户许可、生产资质、管理体系认证等</w:t>
      </w:r>
      <w:r>
        <w:rPr>
          <w:rFonts w:hint="eastAsia" w:ascii="宋体" w:hAnsi="宋体" w:eastAsia="宋体" w:cs="宋体"/>
          <w:sz w:val="30"/>
          <w:szCs w:val="30"/>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5"/>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、业绩证明材料</w:t>
      </w:r>
    </w:p>
    <w:p>
      <w:pPr>
        <w:adjustRightInd w:val="0"/>
        <w:snapToGrid w:val="0"/>
        <w:spacing w:after="0" w:line="360" w:lineRule="auto"/>
        <w:jc w:val="center"/>
        <w:rPr>
          <w:rFonts w:hint="eastAsia" w:ascii="宋体" w:hAnsi="宋体" w:eastAsia="宋体" w:cs="宋体"/>
          <w:b/>
          <w:color w:val="000000"/>
          <w:spacing w:val="1"/>
          <w:sz w:val="44"/>
          <w:szCs w:val="44"/>
          <w:lang w:eastAsia="zh-CN"/>
        </w:rPr>
      </w:pPr>
    </w:p>
    <w:p>
      <w:pPr>
        <w:pStyle w:val="12"/>
        <w:rPr>
          <w:rFonts w:hint="eastAsia" w:ascii="宋体" w:hAnsi="宋体" w:eastAsia="宋体" w:cs="宋体"/>
          <w:sz w:val="32"/>
          <w:szCs w:val="32"/>
          <w:lang w:eastAsia="zh-CN"/>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sectPr>
          <w:pgSz w:w="11906" w:h="16838"/>
          <w:pgMar w:top="2098" w:right="1474" w:bottom="1928" w:left="1587" w:header="851" w:footer="992" w:gutter="0"/>
          <w:pgNumType w:fmt="numberInDash" w:start="1"/>
          <w:cols w:space="720" w:num="1"/>
          <w:docGrid w:type="lines" w:linePitch="312" w:charSpace="0"/>
        </w:sectPr>
      </w:pPr>
    </w:p>
    <w:p>
      <w:pPr>
        <w:ind w:firstLine="578" w:firstLineChars="200"/>
        <w:jc w:val="center"/>
        <w:rPr>
          <w:rFonts w:hint="eastAsia" w:cs="宋体"/>
          <w:b/>
          <w:bCs/>
          <w:spacing w:val="4"/>
          <w:sz w:val="28"/>
          <w:szCs w:val="28"/>
          <w:lang w:val="en-US" w:eastAsia="zh-CN"/>
        </w:rPr>
      </w:pPr>
      <w:r>
        <w:rPr>
          <w:rFonts w:hint="eastAsia" w:cs="宋体"/>
          <w:b/>
          <w:bCs/>
          <w:spacing w:val="4"/>
          <w:sz w:val="28"/>
          <w:szCs w:val="28"/>
          <w:lang w:val="en-US" w:eastAsia="zh-CN"/>
        </w:rPr>
        <w:t>七、整体方案设计</w:t>
      </w:r>
    </w:p>
    <w:p>
      <w:pPr>
        <w:pStyle w:val="5"/>
        <w:widowControl w:val="0"/>
        <w:snapToGrid w:val="0"/>
        <w:spacing w:before="0" w:after="0" w:line="360" w:lineRule="auto"/>
        <w:rPr>
          <w:rFonts w:hint="eastAsia" w:ascii="宋体" w:hAnsi="宋体" w:eastAsia="宋体" w:cs="宋体"/>
          <w:bCs/>
          <w:sz w:val="32"/>
          <w:szCs w:val="32"/>
          <w:lang w:val="en-US" w:eastAsia="zh-CN"/>
        </w:rPr>
        <w:sectPr>
          <w:pgSz w:w="11906" w:h="16838"/>
          <w:pgMar w:top="2098" w:right="1474" w:bottom="1928" w:left="1587" w:header="851" w:footer="992" w:gutter="0"/>
          <w:pgNumType w:fmt="numberInDash" w:start="1"/>
          <w:cols w:space="720" w:num="1"/>
          <w:docGrid w:type="lines" w:linePitch="312" w:charSpace="0"/>
        </w:sectPr>
      </w:pPr>
    </w:p>
    <w:p>
      <w:pPr>
        <w:ind w:firstLine="578" w:firstLineChars="200"/>
        <w:jc w:val="center"/>
        <w:rPr>
          <w:rFonts w:hint="default" w:eastAsia="宋体" w:cs="宋体"/>
          <w:b/>
          <w:bCs/>
          <w:spacing w:val="4"/>
          <w:sz w:val="28"/>
          <w:szCs w:val="28"/>
          <w:lang w:val="en-US" w:eastAsia="zh-CN"/>
        </w:rPr>
        <w:sectPr>
          <w:pgSz w:w="11906" w:h="16838"/>
          <w:pgMar w:top="2098" w:right="1474" w:bottom="1928" w:left="1587" w:header="851" w:footer="992" w:gutter="0"/>
          <w:pgNumType w:fmt="numberInDash" w:start="1"/>
          <w:cols w:space="720" w:num="1"/>
          <w:docGrid w:type="lines" w:linePitch="312" w:charSpace="0"/>
        </w:sectPr>
      </w:pPr>
      <w:r>
        <w:rPr>
          <w:rFonts w:hint="eastAsia" w:eastAsia="宋体" w:cs="宋体"/>
          <w:b/>
          <w:bCs/>
          <w:spacing w:val="4"/>
          <w:sz w:val="28"/>
          <w:szCs w:val="28"/>
          <w:lang w:val="en-US" w:eastAsia="zh-CN"/>
        </w:rPr>
        <w:t>八、</w:t>
      </w:r>
      <w:r>
        <w:rPr>
          <w:rFonts w:hint="default" w:eastAsia="宋体" w:cs="宋体"/>
          <w:b/>
          <w:bCs/>
          <w:spacing w:val="4"/>
          <w:sz w:val="28"/>
          <w:szCs w:val="28"/>
          <w:lang w:val="en-US" w:eastAsia="zh-CN"/>
        </w:rPr>
        <w:t>主要设备材料</w:t>
      </w: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九</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
        <w:ind w:firstLine="0" w:firstLineChars="0"/>
        <w:jc w:val="center"/>
        <w:rPr>
          <w:rFonts w:hint="eastAsia" w:ascii="宋体" w:hAnsi="宋体" w:eastAsia="宋体" w:cs="宋体"/>
          <w:sz w:val="32"/>
          <w:szCs w:val="32"/>
        </w:rPr>
      </w:pPr>
    </w:p>
    <w:p>
      <w:pPr>
        <w:pStyle w:val="2"/>
        <w:ind w:firstLine="0" w:firstLineChars="0"/>
        <w:jc w:val="center"/>
        <w:rPr>
          <w:rFonts w:hint="eastAsia" w:ascii="宋体" w:hAnsi="宋体" w:eastAsia="宋体" w:cs="宋体"/>
          <w:sz w:val="32"/>
          <w:szCs w:val="32"/>
        </w:rPr>
      </w:pPr>
    </w:p>
    <w:p>
      <w:pPr>
        <w:pStyle w:val="2"/>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5"/>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十</w:t>
      </w:r>
      <w:r>
        <w:rPr>
          <w:rFonts w:hint="eastAsia" w:ascii="宋体" w:hAnsi="宋体" w:eastAsia="宋体" w:cs="宋体"/>
          <w:color w:val="000000"/>
          <w:spacing w:val="1"/>
          <w:sz w:val="32"/>
          <w:szCs w:val="32"/>
          <w:lang w:eastAsia="zh-CN"/>
        </w:rPr>
        <w:t>、质量保证和售后服务</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5"/>
        <w:widowControl w:val="0"/>
        <w:snapToGrid w:val="0"/>
        <w:spacing w:before="0" w:after="0" w:line="360" w:lineRule="auto"/>
        <w:rPr>
          <w:rFonts w:hint="eastAsia" w:ascii="宋体" w:hAnsi="宋体" w:cs="宋体"/>
          <w:color w:val="000000"/>
          <w:spacing w:val="1"/>
          <w:sz w:val="32"/>
          <w:szCs w:val="32"/>
          <w:lang w:eastAsia="zh-CN"/>
        </w:rPr>
      </w:pPr>
    </w:p>
    <w:p>
      <w:pPr>
        <w:pStyle w:val="6"/>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
        <w:rPr>
          <w:rFonts w:hint="eastAsia"/>
          <w:lang w:eastAsia="zh-CN"/>
        </w:rPr>
      </w:pPr>
    </w:p>
    <w:p>
      <w:pPr>
        <w:pStyle w:val="2"/>
        <w:rPr>
          <w:rFonts w:hint="eastAsia"/>
          <w:lang w:eastAsia="zh-CN"/>
        </w:rPr>
      </w:pPr>
    </w:p>
    <w:p>
      <w:pPr>
        <w:pStyle w:val="5"/>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5"/>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val="en-US" w:eastAsia="zh-CN"/>
        </w:rPr>
        <w:t>十一</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kern w:val="2"/>
          <w:sz w:val="28"/>
          <w:szCs w:val="28"/>
          <w:highlight w:val="none"/>
          <w:u w:val="single"/>
          <w:lang w:val="en-US" w:eastAsia="zh-CN"/>
        </w:rPr>
        <w:t>咸阳市热力公司利用热电联产热网新建及改建项目二期工程</w:t>
      </w:r>
      <w:r>
        <w:rPr>
          <w:rFonts w:hint="eastAsia" w:ascii="宋体" w:hAnsi="宋体" w:cs="宋体"/>
          <w:kern w:val="2"/>
          <w:sz w:val="28"/>
          <w:szCs w:val="28"/>
          <w:highlight w:val="none"/>
          <w:u w:val="single"/>
          <w:lang w:val="en-US" w:eastAsia="zh-CN"/>
        </w:rPr>
        <w:t>2024年换热站换热机组设备</w:t>
      </w:r>
      <w:r>
        <w:rPr>
          <w:rFonts w:hint="eastAsia" w:ascii="宋体" w:hAnsi="宋体" w:eastAsia="宋体" w:cs="宋体"/>
          <w:kern w:val="2"/>
          <w:sz w:val="28"/>
          <w:szCs w:val="28"/>
          <w:highlight w:val="none"/>
          <w:u w:val="single"/>
          <w:lang w:val="en-US" w:eastAsia="zh-CN"/>
        </w:rPr>
        <w:t>采购</w:t>
      </w:r>
      <w:r>
        <w:rPr>
          <w:rFonts w:hint="eastAsia" w:ascii="宋体" w:hAnsi="宋体" w:eastAsia="宋体" w:cs="宋体"/>
          <w:kern w:val="2"/>
          <w:sz w:val="28"/>
          <w:szCs w:val="28"/>
          <w:highlight w:val="none"/>
          <w:lang w:eastAsia="zh-CN"/>
        </w:rPr>
        <w:t>洽谈</w:t>
      </w:r>
      <w:r>
        <w:rPr>
          <w:rFonts w:hint="eastAsia" w:ascii="宋体" w:hAnsi="宋体" w:eastAsia="宋体" w:cs="宋体"/>
          <w:kern w:val="2"/>
          <w:sz w:val="28"/>
          <w:szCs w:val="28"/>
          <w:lang w:eastAsia="zh-CN"/>
        </w:rPr>
        <w:t>。我公司将安排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ind w:firstLine="0" w:firstLineChars="0"/>
        <w:rPr>
          <w:rFonts w:hint="eastAsia" w:ascii="宋体" w:hAnsi="宋体" w:eastAsia="宋体" w:cs="宋体"/>
          <w:sz w:val="28"/>
          <w:szCs w:val="28"/>
        </w:rPr>
      </w:pPr>
    </w:p>
    <w:p>
      <w:pPr>
        <w:rPr>
          <w:rFonts w:hint="eastAsia" w:ascii="宋体" w:hAnsi="宋体" w:eastAsia="宋体" w:cs="宋体"/>
        </w:rPr>
      </w:pPr>
    </w:p>
    <w:p>
      <w:pPr>
        <w:pStyle w:val="2"/>
        <w:ind w:firstLine="0" w:firstLineChars="0"/>
        <w:jc w:val="both"/>
        <w:rPr>
          <w:rFonts w:hint="default" w:ascii="宋体" w:hAnsi="宋体" w:eastAsia="宋体" w:cs="宋体"/>
          <w:sz w:val="32"/>
          <w:szCs w:val="32"/>
          <w:lang w:val="en-US" w:eastAsia="zh-CN"/>
        </w:rPr>
      </w:pPr>
    </w:p>
    <w:sectPr>
      <w:pgSz w:w="11906" w:h="16838"/>
      <w:pgMar w:top="2098" w:right="1474"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DDE69B6E-648D-483F-B14C-289ADB27D685}"/>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2" w:fontKey="{1A6976E6-3EAB-476C-BD25-71366D2E2A0F}"/>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2C593462-0BFA-49C3-9AEF-B60D87A6FD45}"/>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8C621"/>
    <w:multiLevelType w:val="singleLevel"/>
    <w:tmpl w:val="0DF8C621"/>
    <w:lvl w:ilvl="0" w:tentative="0">
      <w:start w:val="2"/>
      <w:numFmt w:val="chineseCounting"/>
      <w:suff w:val="nothing"/>
      <w:lvlText w:val="%1、"/>
      <w:lvlJc w:val="left"/>
      <w:rPr>
        <w:rFonts w:hint="eastAsia"/>
      </w:rPr>
    </w:lvl>
  </w:abstractNum>
  <w:abstractNum w:abstractNumId="1">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E919EC"/>
    <w:rsid w:val="043450AC"/>
    <w:rsid w:val="0497742C"/>
    <w:rsid w:val="04CF1E07"/>
    <w:rsid w:val="05055CA7"/>
    <w:rsid w:val="055E6A41"/>
    <w:rsid w:val="05A37F3E"/>
    <w:rsid w:val="062D594E"/>
    <w:rsid w:val="06A11B27"/>
    <w:rsid w:val="06B56F46"/>
    <w:rsid w:val="06F5135C"/>
    <w:rsid w:val="06FF6171"/>
    <w:rsid w:val="071B4C49"/>
    <w:rsid w:val="079B5895"/>
    <w:rsid w:val="081E47AF"/>
    <w:rsid w:val="083D1897"/>
    <w:rsid w:val="08635D9F"/>
    <w:rsid w:val="08B33A1B"/>
    <w:rsid w:val="09091E8B"/>
    <w:rsid w:val="09196A8A"/>
    <w:rsid w:val="09653D7E"/>
    <w:rsid w:val="096F6B05"/>
    <w:rsid w:val="09A555BC"/>
    <w:rsid w:val="0A2E402E"/>
    <w:rsid w:val="0A497D62"/>
    <w:rsid w:val="0A8770AF"/>
    <w:rsid w:val="0AE624F2"/>
    <w:rsid w:val="0B2932A9"/>
    <w:rsid w:val="0BAF5CFD"/>
    <w:rsid w:val="0C0E70CD"/>
    <w:rsid w:val="0C270DEC"/>
    <w:rsid w:val="0C63132C"/>
    <w:rsid w:val="0CB72372"/>
    <w:rsid w:val="0D3832CF"/>
    <w:rsid w:val="0D8152F5"/>
    <w:rsid w:val="0DF02DF4"/>
    <w:rsid w:val="0E3F74B3"/>
    <w:rsid w:val="0E620603"/>
    <w:rsid w:val="0E755A06"/>
    <w:rsid w:val="0F020CE8"/>
    <w:rsid w:val="0FAE6C29"/>
    <w:rsid w:val="0FCF484D"/>
    <w:rsid w:val="0FE77488"/>
    <w:rsid w:val="1002488C"/>
    <w:rsid w:val="10714BC1"/>
    <w:rsid w:val="1072605F"/>
    <w:rsid w:val="10834BA2"/>
    <w:rsid w:val="10D90B98"/>
    <w:rsid w:val="10F11D43"/>
    <w:rsid w:val="10F93091"/>
    <w:rsid w:val="11494DF7"/>
    <w:rsid w:val="117A1736"/>
    <w:rsid w:val="1189337F"/>
    <w:rsid w:val="11EE213D"/>
    <w:rsid w:val="120314AE"/>
    <w:rsid w:val="12474BA3"/>
    <w:rsid w:val="124A38EA"/>
    <w:rsid w:val="12915BA1"/>
    <w:rsid w:val="12A33350"/>
    <w:rsid w:val="12E944D4"/>
    <w:rsid w:val="1438224C"/>
    <w:rsid w:val="143B31BA"/>
    <w:rsid w:val="146A57D1"/>
    <w:rsid w:val="147B2863"/>
    <w:rsid w:val="14DF5F6B"/>
    <w:rsid w:val="15B54756"/>
    <w:rsid w:val="15C0156B"/>
    <w:rsid w:val="15D26D59"/>
    <w:rsid w:val="16476C59"/>
    <w:rsid w:val="164A40FD"/>
    <w:rsid w:val="164E77A2"/>
    <w:rsid w:val="16673495"/>
    <w:rsid w:val="17A43157"/>
    <w:rsid w:val="17AA0C9F"/>
    <w:rsid w:val="18181E97"/>
    <w:rsid w:val="1857306C"/>
    <w:rsid w:val="185C4748"/>
    <w:rsid w:val="189F2F01"/>
    <w:rsid w:val="18C11FF4"/>
    <w:rsid w:val="18E55A67"/>
    <w:rsid w:val="18E63995"/>
    <w:rsid w:val="18E941BF"/>
    <w:rsid w:val="196A54B3"/>
    <w:rsid w:val="1976123A"/>
    <w:rsid w:val="1B291859"/>
    <w:rsid w:val="1B541992"/>
    <w:rsid w:val="1BE36575"/>
    <w:rsid w:val="1C0E658E"/>
    <w:rsid w:val="1C2229D6"/>
    <w:rsid w:val="1C456932"/>
    <w:rsid w:val="1D483523"/>
    <w:rsid w:val="1D7B16E2"/>
    <w:rsid w:val="1D874678"/>
    <w:rsid w:val="1DCA5F3E"/>
    <w:rsid w:val="1DCD7BE2"/>
    <w:rsid w:val="1E193401"/>
    <w:rsid w:val="1E49616B"/>
    <w:rsid w:val="1E690D22"/>
    <w:rsid w:val="1E813387"/>
    <w:rsid w:val="1EA013DF"/>
    <w:rsid w:val="1EB74DFC"/>
    <w:rsid w:val="1F4C1053"/>
    <w:rsid w:val="1F543666"/>
    <w:rsid w:val="1FAD46B3"/>
    <w:rsid w:val="1FC3545A"/>
    <w:rsid w:val="1FE80954"/>
    <w:rsid w:val="202334CD"/>
    <w:rsid w:val="205159CE"/>
    <w:rsid w:val="20A942BB"/>
    <w:rsid w:val="20FD356C"/>
    <w:rsid w:val="212551CC"/>
    <w:rsid w:val="214B794E"/>
    <w:rsid w:val="217C5EFE"/>
    <w:rsid w:val="223B58C5"/>
    <w:rsid w:val="22BA1DE1"/>
    <w:rsid w:val="237202AC"/>
    <w:rsid w:val="23B034F3"/>
    <w:rsid w:val="23CE62EC"/>
    <w:rsid w:val="23EE3916"/>
    <w:rsid w:val="24351414"/>
    <w:rsid w:val="243B01A4"/>
    <w:rsid w:val="24432BA1"/>
    <w:rsid w:val="244A1820"/>
    <w:rsid w:val="24616393"/>
    <w:rsid w:val="24CA1DCA"/>
    <w:rsid w:val="25117050"/>
    <w:rsid w:val="25F934C3"/>
    <w:rsid w:val="261F7BFC"/>
    <w:rsid w:val="26566C4F"/>
    <w:rsid w:val="265A4A4B"/>
    <w:rsid w:val="269E7EC4"/>
    <w:rsid w:val="26B20955"/>
    <w:rsid w:val="26D33913"/>
    <w:rsid w:val="2738293A"/>
    <w:rsid w:val="27793455"/>
    <w:rsid w:val="2781160D"/>
    <w:rsid w:val="279F63B2"/>
    <w:rsid w:val="27BE60C8"/>
    <w:rsid w:val="28E16AF1"/>
    <w:rsid w:val="29041680"/>
    <w:rsid w:val="291D5BC0"/>
    <w:rsid w:val="29326632"/>
    <w:rsid w:val="29B233CF"/>
    <w:rsid w:val="29B34098"/>
    <w:rsid w:val="29B8045B"/>
    <w:rsid w:val="2A6873D9"/>
    <w:rsid w:val="2A925CC5"/>
    <w:rsid w:val="2B1169E1"/>
    <w:rsid w:val="2B155FBD"/>
    <w:rsid w:val="2B574474"/>
    <w:rsid w:val="2D0B6797"/>
    <w:rsid w:val="2D4E02F3"/>
    <w:rsid w:val="2D890F1A"/>
    <w:rsid w:val="2DF2419C"/>
    <w:rsid w:val="2F4C1ADC"/>
    <w:rsid w:val="2F571061"/>
    <w:rsid w:val="2F7D0DB4"/>
    <w:rsid w:val="2F7D16A3"/>
    <w:rsid w:val="2FB13E9F"/>
    <w:rsid w:val="2FED49A5"/>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4217016"/>
    <w:rsid w:val="347831DE"/>
    <w:rsid w:val="34A8669C"/>
    <w:rsid w:val="350F5B39"/>
    <w:rsid w:val="3542359F"/>
    <w:rsid w:val="35715980"/>
    <w:rsid w:val="35991FA1"/>
    <w:rsid w:val="35D05C27"/>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CF75878"/>
    <w:rsid w:val="3D0E0250"/>
    <w:rsid w:val="3D497D6B"/>
    <w:rsid w:val="3D5D28A5"/>
    <w:rsid w:val="3D8E3DD6"/>
    <w:rsid w:val="3E631381"/>
    <w:rsid w:val="3EA169E6"/>
    <w:rsid w:val="3EF27F98"/>
    <w:rsid w:val="3EF87C9E"/>
    <w:rsid w:val="3F313892"/>
    <w:rsid w:val="3F4E4EEB"/>
    <w:rsid w:val="3F6A381A"/>
    <w:rsid w:val="3FAE3F57"/>
    <w:rsid w:val="3FCB15E3"/>
    <w:rsid w:val="401D4304"/>
    <w:rsid w:val="40FB63B5"/>
    <w:rsid w:val="415E1D33"/>
    <w:rsid w:val="41792343"/>
    <w:rsid w:val="418C4C07"/>
    <w:rsid w:val="41D41319"/>
    <w:rsid w:val="421F5007"/>
    <w:rsid w:val="4246200C"/>
    <w:rsid w:val="436408CC"/>
    <w:rsid w:val="43642093"/>
    <w:rsid w:val="43B16F9E"/>
    <w:rsid w:val="44161FF1"/>
    <w:rsid w:val="442B1041"/>
    <w:rsid w:val="44D40592"/>
    <w:rsid w:val="455B0BE8"/>
    <w:rsid w:val="459B12FC"/>
    <w:rsid w:val="45A25FDE"/>
    <w:rsid w:val="45CF6FEF"/>
    <w:rsid w:val="45EB689E"/>
    <w:rsid w:val="45F41A6E"/>
    <w:rsid w:val="46222D95"/>
    <w:rsid w:val="467B4E57"/>
    <w:rsid w:val="467B5D3A"/>
    <w:rsid w:val="46902919"/>
    <w:rsid w:val="470F5FD4"/>
    <w:rsid w:val="471C4D66"/>
    <w:rsid w:val="474A1E2D"/>
    <w:rsid w:val="47691071"/>
    <w:rsid w:val="49E54986"/>
    <w:rsid w:val="4A64117C"/>
    <w:rsid w:val="4A825DF7"/>
    <w:rsid w:val="4A9377B7"/>
    <w:rsid w:val="4A9B05A9"/>
    <w:rsid w:val="4ABC573D"/>
    <w:rsid w:val="4B8244EA"/>
    <w:rsid w:val="4B8D4EF5"/>
    <w:rsid w:val="4BBA6814"/>
    <w:rsid w:val="4C2E74ED"/>
    <w:rsid w:val="4CB56BCA"/>
    <w:rsid w:val="4CB96FE8"/>
    <w:rsid w:val="4D2845B6"/>
    <w:rsid w:val="4D772620"/>
    <w:rsid w:val="4D785696"/>
    <w:rsid w:val="4DC4675B"/>
    <w:rsid w:val="4E1B1545"/>
    <w:rsid w:val="4E257888"/>
    <w:rsid w:val="4E395863"/>
    <w:rsid w:val="4E5110AD"/>
    <w:rsid w:val="4E6314B0"/>
    <w:rsid w:val="4E75445C"/>
    <w:rsid w:val="4E88235B"/>
    <w:rsid w:val="4F1D6A04"/>
    <w:rsid w:val="4F2655EB"/>
    <w:rsid w:val="4F3F0FC5"/>
    <w:rsid w:val="4F6C4D49"/>
    <w:rsid w:val="5011167D"/>
    <w:rsid w:val="50152B62"/>
    <w:rsid w:val="509021A9"/>
    <w:rsid w:val="510F49AB"/>
    <w:rsid w:val="51203D18"/>
    <w:rsid w:val="51230560"/>
    <w:rsid w:val="51652C8F"/>
    <w:rsid w:val="51D53255"/>
    <w:rsid w:val="523C15E2"/>
    <w:rsid w:val="52B34B72"/>
    <w:rsid w:val="52FF0648"/>
    <w:rsid w:val="5316356A"/>
    <w:rsid w:val="53A93F3E"/>
    <w:rsid w:val="53F13B05"/>
    <w:rsid w:val="53F47C4C"/>
    <w:rsid w:val="545A223D"/>
    <w:rsid w:val="545C2115"/>
    <w:rsid w:val="54684012"/>
    <w:rsid w:val="547C30D3"/>
    <w:rsid w:val="548236CB"/>
    <w:rsid w:val="54926A63"/>
    <w:rsid w:val="54BC6BD8"/>
    <w:rsid w:val="556B386F"/>
    <w:rsid w:val="55783C9C"/>
    <w:rsid w:val="55CE318F"/>
    <w:rsid w:val="56370A2A"/>
    <w:rsid w:val="56481EBA"/>
    <w:rsid w:val="565279A3"/>
    <w:rsid w:val="56706DEC"/>
    <w:rsid w:val="572F7119"/>
    <w:rsid w:val="573A665F"/>
    <w:rsid w:val="57CC2F03"/>
    <w:rsid w:val="58000601"/>
    <w:rsid w:val="58144544"/>
    <w:rsid w:val="58817598"/>
    <w:rsid w:val="59062ABF"/>
    <w:rsid w:val="594820F6"/>
    <w:rsid w:val="597A2AF4"/>
    <w:rsid w:val="59924B36"/>
    <w:rsid w:val="59C25C29"/>
    <w:rsid w:val="5A13107C"/>
    <w:rsid w:val="5A765110"/>
    <w:rsid w:val="5A934354"/>
    <w:rsid w:val="5A9E5450"/>
    <w:rsid w:val="5A9E63D2"/>
    <w:rsid w:val="5AD579D5"/>
    <w:rsid w:val="5AE23D8B"/>
    <w:rsid w:val="5B7B1CE1"/>
    <w:rsid w:val="5BC54EBD"/>
    <w:rsid w:val="5BF90726"/>
    <w:rsid w:val="5C8C2DB7"/>
    <w:rsid w:val="5CB70B8B"/>
    <w:rsid w:val="5DDB75E5"/>
    <w:rsid w:val="5E0D46A2"/>
    <w:rsid w:val="5E1614EB"/>
    <w:rsid w:val="5E2A34C9"/>
    <w:rsid w:val="5E59547F"/>
    <w:rsid w:val="5F593573"/>
    <w:rsid w:val="5F5F7CC2"/>
    <w:rsid w:val="5F6B7FF9"/>
    <w:rsid w:val="5F6C08EF"/>
    <w:rsid w:val="5F830D4C"/>
    <w:rsid w:val="5FF7215C"/>
    <w:rsid w:val="600E2A32"/>
    <w:rsid w:val="60AF1486"/>
    <w:rsid w:val="61B820DA"/>
    <w:rsid w:val="61C032F6"/>
    <w:rsid w:val="61E02B58"/>
    <w:rsid w:val="620F17D6"/>
    <w:rsid w:val="62334E21"/>
    <w:rsid w:val="624B3A99"/>
    <w:rsid w:val="626C66E0"/>
    <w:rsid w:val="626D093D"/>
    <w:rsid w:val="62E009FD"/>
    <w:rsid w:val="63105053"/>
    <w:rsid w:val="634D0519"/>
    <w:rsid w:val="63D759C6"/>
    <w:rsid w:val="64657D8E"/>
    <w:rsid w:val="647D482C"/>
    <w:rsid w:val="649D4B1A"/>
    <w:rsid w:val="6509385A"/>
    <w:rsid w:val="652629B2"/>
    <w:rsid w:val="656F0973"/>
    <w:rsid w:val="65E30F2D"/>
    <w:rsid w:val="660B7DA3"/>
    <w:rsid w:val="66707695"/>
    <w:rsid w:val="66A448C7"/>
    <w:rsid w:val="66F378E4"/>
    <w:rsid w:val="673E020C"/>
    <w:rsid w:val="6746070C"/>
    <w:rsid w:val="677D766F"/>
    <w:rsid w:val="684B5726"/>
    <w:rsid w:val="69C207FD"/>
    <w:rsid w:val="6A0A4F82"/>
    <w:rsid w:val="6A814DCB"/>
    <w:rsid w:val="6A8219B9"/>
    <w:rsid w:val="6AEB631A"/>
    <w:rsid w:val="6B087A1B"/>
    <w:rsid w:val="6B0A2326"/>
    <w:rsid w:val="6B507F44"/>
    <w:rsid w:val="6BF45BB6"/>
    <w:rsid w:val="6C9A1CA8"/>
    <w:rsid w:val="6C9A324D"/>
    <w:rsid w:val="6CBD2F18"/>
    <w:rsid w:val="6D0A59CF"/>
    <w:rsid w:val="6D2C542C"/>
    <w:rsid w:val="6D4364FA"/>
    <w:rsid w:val="6D776538"/>
    <w:rsid w:val="6DCC0D4E"/>
    <w:rsid w:val="6E1E6862"/>
    <w:rsid w:val="6EF64322"/>
    <w:rsid w:val="6F9E30AD"/>
    <w:rsid w:val="706E1A65"/>
    <w:rsid w:val="70813857"/>
    <w:rsid w:val="7256244B"/>
    <w:rsid w:val="72C566F5"/>
    <w:rsid w:val="72DE38E7"/>
    <w:rsid w:val="72FE5E06"/>
    <w:rsid w:val="730075F6"/>
    <w:rsid w:val="73D70F8A"/>
    <w:rsid w:val="73FA59BB"/>
    <w:rsid w:val="744750A5"/>
    <w:rsid w:val="75AF3CBD"/>
    <w:rsid w:val="764500E7"/>
    <w:rsid w:val="768C5180"/>
    <w:rsid w:val="76AA09AF"/>
    <w:rsid w:val="76BA6676"/>
    <w:rsid w:val="77364257"/>
    <w:rsid w:val="776873B7"/>
    <w:rsid w:val="77A64A61"/>
    <w:rsid w:val="78184B8D"/>
    <w:rsid w:val="788D6D70"/>
    <w:rsid w:val="796232BE"/>
    <w:rsid w:val="79F65ECE"/>
    <w:rsid w:val="7B1856CB"/>
    <w:rsid w:val="7B2A199D"/>
    <w:rsid w:val="7B631937"/>
    <w:rsid w:val="7C2A5D04"/>
    <w:rsid w:val="7C8E54B4"/>
    <w:rsid w:val="7C9549E8"/>
    <w:rsid w:val="7CEF0A3B"/>
    <w:rsid w:val="7D77768B"/>
    <w:rsid w:val="7DBF4EA3"/>
    <w:rsid w:val="7E6F010F"/>
    <w:rsid w:val="7E970604"/>
    <w:rsid w:val="7ED82B0F"/>
    <w:rsid w:val="7F1900DA"/>
    <w:rsid w:val="7F6C17BE"/>
    <w:rsid w:val="7FD3672A"/>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5">
    <w:name w:val="heading 2"/>
    <w:basedOn w:val="6"/>
    <w:next w:val="6"/>
    <w:autoRedefine/>
    <w:qFormat/>
    <w:uiPriority w:val="0"/>
    <w:pPr>
      <w:keepNext/>
      <w:keepLines/>
      <w:spacing w:before="260" w:after="260" w:line="413" w:lineRule="auto"/>
      <w:outlineLvl w:val="1"/>
    </w:pPr>
    <w:rPr>
      <w:rFonts w:eastAsia="宋体"/>
      <w:sz w:val="44"/>
    </w:rPr>
  </w:style>
  <w:style w:type="paragraph" w:styleId="7">
    <w:name w:val="heading 3"/>
    <w:basedOn w:val="1"/>
    <w:next w:val="8"/>
    <w:link w:val="29"/>
    <w:autoRedefine/>
    <w:qFormat/>
    <w:uiPriority w:val="0"/>
    <w:pPr>
      <w:keepNext/>
      <w:keepLines/>
      <w:spacing w:before="260" w:after="260" w:line="416" w:lineRule="auto"/>
      <w:outlineLvl w:val="2"/>
    </w:pPr>
    <w:rPr>
      <w:b/>
      <w:bCs/>
      <w:sz w:val="32"/>
      <w:szCs w:val="32"/>
    </w:rPr>
  </w:style>
  <w:style w:type="paragraph" w:styleId="9">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3"/>
    <w:next w:val="1"/>
    <w:autoRedefine/>
    <w:qFormat/>
    <w:uiPriority w:val="0"/>
    <w:pPr>
      <w:ind w:firstLine="420" w:firstLineChars="200"/>
    </w:pPr>
  </w:style>
  <w:style w:type="paragraph" w:customStyle="1" w:styleId="3">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6">
    <w:name w:val="Title"/>
    <w:basedOn w:val="1"/>
    <w:autoRedefine/>
    <w:qFormat/>
    <w:uiPriority w:val="0"/>
    <w:pPr>
      <w:spacing w:before="240" w:after="60"/>
      <w:jc w:val="center"/>
      <w:outlineLvl w:val="0"/>
    </w:pPr>
    <w:rPr>
      <w:rFonts w:ascii="Arial" w:hAnsi="Arial"/>
      <w:b/>
      <w:sz w:val="32"/>
    </w:rPr>
  </w:style>
  <w:style w:type="paragraph" w:styleId="8">
    <w:name w:val="Normal Indent"/>
    <w:basedOn w:val="1"/>
    <w:autoRedefine/>
    <w:qFormat/>
    <w:uiPriority w:val="0"/>
    <w:pPr>
      <w:spacing w:line="300" w:lineRule="auto"/>
      <w:ind w:firstLine="420" w:firstLineChars="200"/>
    </w:pPr>
    <w:rPr>
      <w:szCs w:val="24"/>
    </w:rPr>
  </w:style>
  <w:style w:type="paragraph" w:styleId="10">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11">
    <w:name w:val="annotation text"/>
    <w:basedOn w:val="1"/>
    <w:link w:val="31"/>
    <w:autoRedefine/>
    <w:unhideWhenUsed/>
    <w:qFormat/>
    <w:uiPriority w:val="99"/>
    <w:pPr>
      <w:jc w:val="left"/>
    </w:pPr>
    <w:rPr>
      <w:rFonts w:ascii="等线" w:hAnsi="等线" w:eastAsia="等线" w:cs="Times New Roman"/>
      <w:szCs w:val="22"/>
    </w:rPr>
  </w:style>
  <w:style w:type="paragraph" w:styleId="12">
    <w:name w:val="Body Text"/>
    <w:basedOn w:val="1"/>
    <w:next w:val="1"/>
    <w:autoRedefine/>
    <w:qFormat/>
    <w:uiPriority w:val="0"/>
    <w:pPr>
      <w:spacing w:line="0" w:lineRule="atLeast"/>
    </w:pPr>
    <w:rPr>
      <w:sz w:val="30"/>
    </w:rPr>
  </w:style>
  <w:style w:type="paragraph" w:styleId="13">
    <w:name w:val="Body Text Indent"/>
    <w:basedOn w:val="1"/>
    <w:autoRedefine/>
    <w:qFormat/>
    <w:uiPriority w:val="0"/>
    <w:pPr>
      <w:spacing w:line="480" w:lineRule="exact"/>
      <w:ind w:firstLine="470" w:firstLineChars="196"/>
    </w:pPr>
    <w:rPr>
      <w:rFonts w:ascii="宋体" w:hAnsi="宋体"/>
      <w:sz w:val="24"/>
    </w:rPr>
  </w:style>
  <w:style w:type="paragraph" w:styleId="14">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5">
    <w:name w:val="Balloon Text"/>
    <w:basedOn w:val="1"/>
    <w:link w:val="33"/>
    <w:autoRedefine/>
    <w:unhideWhenUsed/>
    <w:qFormat/>
    <w:uiPriority w:val="0"/>
    <w:rPr>
      <w:rFonts w:ascii="等线" w:hAnsi="等线" w:eastAsia="等线" w:cs="Times New Roman"/>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0">
    <w:name w:val="annotation subject"/>
    <w:basedOn w:val="11"/>
    <w:next w:val="11"/>
    <w:link w:val="36"/>
    <w:autoRedefine/>
    <w:unhideWhenUsed/>
    <w:qFormat/>
    <w:uiPriority w:val="99"/>
    <w:rPr>
      <w:rFonts w:ascii="等线" w:hAnsi="等线" w:eastAsia="等线" w:cs="Times New Roman"/>
      <w:b/>
      <w:bCs/>
    </w:rPr>
  </w:style>
  <w:style w:type="table" w:styleId="22">
    <w:name w:val="Table Grid"/>
    <w:basedOn w:val="2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autoRedefine/>
    <w:qFormat/>
    <w:uiPriority w:val="0"/>
  </w:style>
  <w:style w:type="character" w:styleId="25">
    <w:name w:val="FollowedHyperlink"/>
    <w:autoRedefine/>
    <w:qFormat/>
    <w:uiPriority w:val="0"/>
    <w:rPr>
      <w:color w:val="800080"/>
      <w:u w:val="none"/>
    </w:rPr>
  </w:style>
  <w:style w:type="character" w:styleId="26">
    <w:name w:val="Hyperlink"/>
    <w:autoRedefine/>
    <w:qFormat/>
    <w:uiPriority w:val="0"/>
    <w:rPr>
      <w:color w:val="0000FF"/>
      <w:u w:val="none"/>
    </w:rPr>
  </w:style>
  <w:style w:type="character" w:styleId="27">
    <w:name w:val="annotation reference"/>
    <w:autoRedefine/>
    <w:unhideWhenUsed/>
    <w:qFormat/>
    <w:uiPriority w:val="99"/>
    <w:rPr>
      <w:sz w:val="21"/>
      <w:szCs w:val="21"/>
    </w:rPr>
  </w:style>
  <w:style w:type="character" w:customStyle="1" w:styleId="28">
    <w:name w:val="标题 1 Char"/>
    <w:link w:val="4"/>
    <w:autoRedefine/>
    <w:qFormat/>
    <w:uiPriority w:val="0"/>
    <w:rPr>
      <w:rFonts w:ascii="Century Gothic" w:hAnsi="Century Gothic" w:eastAsia="幼圆"/>
      <w:b/>
      <w:kern w:val="44"/>
      <w:sz w:val="44"/>
    </w:rPr>
  </w:style>
  <w:style w:type="character" w:customStyle="1" w:styleId="29">
    <w:name w:val="标题 3 Char"/>
    <w:link w:val="7"/>
    <w:autoRedefine/>
    <w:qFormat/>
    <w:uiPriority w:val="0"/>
    <w:rPr>
      <w:b/>
      <w:bCs/>
      <w:kern w:val="2"/>
      <w:sz w:val="32"/>
      <w:szCs w:val="32"/>
    </w:rPr>
  </w:style>
  <w:style w:type="character" w:customStyle="1" w:styleId="30">
    <w:name w:val="文档结构图 Char"/>
    <w:link w:val="10"/>
    <w:autoRedefine/>
    <w:qFormat/>
    <w:uiPriority w:val="0"/>
    <w:rPr>
      <w:rFonts w:ascii="Century Gothic" w:hAnsi="Century Gothic" w:eastAsia="幼圆"/>
      <w:kern w:val="2"/>
      <w:sz w:val="21"/>
      <w:shd w:val="clear" w:color="auto" w:fill="000080"/>
    </w:rPr>
  </w:style>
  <w:style w:type="character" w:customStyle="1" w:styleId="31">
    <w:name w:val="批注文字 Char"/>
    <w:link w:val="11"/>
    <w:autoRedefine/>
    <w:qFormat/>
    <w:uiPriority w:val="99"/>
    <w:rPr>
      <w:rFonts w:ascii="等线" w:hAnsi="等线" w:eastAsia="等线"/>
      <w:kern w:val="2"/>
      <w:sz w:val="21"/>
      <w:szCs w:val="22"/>
    </w:rPr>
  </w:style>
  <w:style w:type="character" w:customStyle="1" w:styleId="32">
    <w:name w:val="纯文本 Char"/>
    <w:link w:val="14"/>
    <w:autoRedefine/>
    <w:qFormat/>
    <w:uiPriority w:val="0"/>
    <w:rPr>
      <w:rFonts w:ascii="宋体" w:hAnsi="Courier New" w:eastAsia="幼圆"/>
      <w:kern w:val="2"/>
      <w:sz w:val="21"/>
    </w:rPr>
  </w:style>
  <w:style w:type="character" w:customStyle="1" w:styleId="33">
    <w:name w:val="批注框文本 Char"/>
    <w:link w:val="15"/>
    <w:autoRedefine/>
    <w:qFormat/>
    <w:uiPriority w:val="99"/>
    <w:rPr>
      <w:rFonts w:ascii="等线" w:hAnsi="等线" w:eastAsia="等线"/>
      <w:kern w:val="2"/>
      <w:sz w:val="18"/>
      <w:szCs w:val="18"/>
    </w:rPr>
  </w:style>
  <w:style w:type="character" w:customStyle="1" w:styleId="34">
    <w:name w:val="页眉 Char"/>
    <w:link w:val="17"/>
    <w:autoRedefine/>
    <w:qFormat/>
    <w:uiPriority w:val="0"/>
    <w:rPr>
      <w:kern w:val="2"/>
      <w:sz w:val="18"/>
      <w:szCs w:val="24"/>
    </w:rPr>
  </w:style>
  <w:style w:type="character" w:customStyle="1" w:styleId="35">
    <w:name w:val="正文文本缩进 3 Char"/>
    <w:link w:val="18"/>
    <w:autoRedefine/>
    <w:qFormat/>
    <w:uiPriority w:val="0"/>
    <w:rPr>
      <w:rFonts w:ascii="仿宋_GB2312" w:hAnsi="MS Outlook" w:eastAsia="仿宋_GB2312"/>
      <w:spacing w:val="-20"/>
      <w:kern w:val="2"/>
      <w:sz w:val="32"/>
    </w:rPr>
  </w:style>
  <w:style w:type="character" w:customStyle="1" w:styleId="36">
    <w:name w:val="批注主题 Char"/>
    <w:link w:val="20"/>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3"/>
    <w:autoRedefine/>
    <w:qFormat/>
    <w:uiPriority w:val="0"/>
    <w:rPr>
      <w:rFonts w:hint="default" w:ascii="Times New Roman" w:hAnsi="Times New Roman" w:cs="Times New Roman"/>
      <w:color w:val="000000"/>
      <w:sz w:val="28"/>
      <w:szCs w:val="28"/>
      <w:u w:val="none"/>
    </w:rPr>
  </w:style>
  <w:style w:type="character" w:customStyle="1" w:styleId="39">
    <w:name w:val="font51"/>
    <w:basedOn w:val="23"/>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3"/>
    <w:autoRedefine/>
    <w:qFormat/>
    <w:uiPriority w:val="0"/>
    <w:rPr>
      <w:rFonts w:hint="default" w:ascii="Arial" w:hAnsi="Arial" w:cs="Arial"/>
      <w:color w:val="000000"/>
      <w:sz w:val="20"/>
      <w:szCs w:val="20"/>
      <w:u w:val="none"/>
    </w:rPr>
  </w:style>
  <w:style w:type="character" w:customStyle="1" w:styleId="47">
    <w:name w:val="page number"/>
    <w:basedOn w:val="23"/>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4"/>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5653</Words>
  <Characters>6513</Characters>
  <Lines>135</Lines>
  <Paragraphs>38</Paragraphs>
  <TotalTime>28</TotalTime>
  <ScaleCrop>false</ScaleCrop>
  <LinksUpToDate>false</LinksUpToDate>
  <CharactersWithSpaces>7144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2024-04-24T01:29:00Z</cp:lastPrinted>
  <dcterms:modified xsi:type="dcterms:W3CDTF">2024-04-24T08:47:23Z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mmondata">
    <vt:lpwstr>eyJoZGlkIjoiZGZjZmY1ODY5YzJjZTRhNTAwN2Y3YmY0MDU0Zjc2MWMifQ==</vt:lpwstr>
  </property>
  <property fmtid="{D5CDD505-2E9C-101B-9397-08002B2CF9AE}" pid="4" name="ICV">
    <vt:lpwstr>71681D6C74444C13AB11B258468BDF4F_13</vt:lpwstr>
  </property>
</Properties>
</file>