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宋体" w:hAnsi="宋体"/>
          <w:color w:val="auto"/>
          <w:sz w:val="48"/>
          <w:szCs w:val="48"/>
          <w:highlight w:val="none"/>
        </w:rPr>
      </w:pPr>
      <w:r>
        <w:rPr>
          <w:rFonts w:ascii="宋体" w:hAnsi="宋体"/>
          <w:color w:val="auto"/>
          <w:sz w:val="48"/>
          <w:szCs w:val="48"/>
          <w:highlight w:val="none"/>
        </w:rPr>
        <w:t>目录</w:t>
      </w:r>
    </w:p>
    <w:p>
      <w:pPr>
        <w:jc w:val="center"/>
        <w:rPr>
          <w:rFonts w:hint="eastAsia" w:cs="宋体"/>
          <w:b/>
          <w:bCs/>
          <w:snapToGrid w:val="0"/>
          <w:color w:val="auto"/>
          <w:spacing w:val="1"/>
          <w:w w:val="99"/>
          <w:kern w:val="0"/>
          <w:szCs w:val="21"/>
          <w:highlight w:val="none"/>
        </w:rPr>
      </w:pPr>
    </w:p>
    <w:p>
      <w:pPr>
        <w:pStyle w:val="11"/>
        <w:tabs>
          <w:tab w:val="right" w:leader="dot" w:pos="8827"/>
        </w:tabs>
        <w:rPr>
          <w:rFonts w:hint="eastAsia" w:ascii="宋体" w:hAnsi="宋体" w:cs="宋体"/>
          <w:color w:val="auto"/>
          <w:highlight w:val="none"/>
        </w:rPr>
      </w:pPr>
      <w:r>
        <w:rPr>
          <w:rFonts w:hint="eastAsia" w:ascii="宋体" w:hAnsi="宋体" w:cs="宋体"/>
          <w:b/>
          <w:snapToGrid w:val="0"/>
          <w:color w:val="auto"/>
          <w:spacing w:val="1"/>
          <w:w w:val="99"/>
          <w:kern w:val="0"/>
          <w:szCs w:val="21"/>
          <w:highlight w:val="none"/>
        </w:rPr>
        <w:fldChar w:fldCharType="begin"/>
      </w:r>
      <w:r>
        <w:rPr>
          <w:rFonts w:hint="eastAsia" w:ascii="宋体" w:hAnsi="宋体" w:cs="宋体"/>
          <w:b/>
          <w:snapToGrid w:val="0"/>
          <w:color w:val="auto"/>
          <w:spacing w:val="1"/>
          <w:w w:val="99"/>
          <w:kern w:val="0"/>
          <w:szCs w:val="21"/>
          <w:highlight w:val="none"/>
        </w:rPr>
        <w:instrText xml:space="preserve">TOC \o "1-2" \h \u </w:instrText>
      </w:r>
      <w:r>
        <w:rPr>
          <w:rFonts w:hint="eastAsia" w:ascii="宋体" w:hAnsi="宋体" w:cs="宋体"/>
          <w:b/>
          <w:snapToGrid w:val="0"/>
          <w:color w:val="auto"/>
          <w:spacing w:val="1"/>
          <w:w w:val="99"/>
          <w:kern w:val="0"/>
          <w:szCs w:val="21"/>
          <w:highlight w:val="none"/>
        </w:rPr>
        <w:fldChar w:fldCharType="separate"/>
      </w:r>
      <w:r>
        <w:rPr>
          <w:color w:val="auto"/>
          <w:highlight w:val="none"/>
        </w:rPr>
        <w:fldChar w:fldCharType="begin"/>
      </w:r>
      <w:r>
        <w:rPr>
          <w:color w:val="auto"/>
          <w:highlight w:val="none"/>
        </w:rPr>
        <w:instrText xml:space="preserve"> HYPERLINK \l "_Toc164" </w:instrText>
      </w:r>
      <w:r>
        <w:rPr>
          <w:color w:val="auto"/>
          <w:highlight w:val="none"/>
        </w:rPr>
        <w:fldChar w:fldCharType="separate"/>
      </w:r>
      <w:r>
        <w:rPr>
          <w:rFonts w:hint="eastAsia" w:ascii="宋体" w:hAnsi="宋体" w:cs="宋体"/>
          <w:snapToGrid w:val="0"/>
          <w:color w:val="auto"/>
          <w:spacing w:val="1"/>
          <w:w w:val="99"/>
          <w:kern w:val="0"/>
          <w:szCs w:val="21"/>
          <w:highlight w:val="none"/>
        </w:rPr>
        <w:t>一</w:t>
      </w:r>
      <w:r>
        <w:rPr>
          <w:rFonts w:hint="eastAsia" w:ascii="宋体" w:hAnsi="宋体" w:cs="宋体"/>
          <w:b/>
          <w:bCs/>
          <w:snapToGrid w:val="0"/>
          <w:color w:val="auto"/>
          <w:spacing w:val="1"/>
          <w:w w:val="99"/>
          <w:kern w:val="0"/>
          <w:szCs w:val="21"/>
          <w:highlight w:val="none"/>
        </w:rPr>
        <w:t>、0.4kV低压开关柜技术规范书</w:t>
      </w:r>
      <w:r>
        <w:rPr>
          <w:rFonts w:hint="eastAsia" w:ascii="宋体" w:hAnsi="宋体" w:cs="宋体"/>
          <w:snapToGrid w:val="0"/>
          <w:color w:val="auto"/>
          <w:spacing w:val="1"/>
          <w:w w:val="99"/>
          <w:kern w:val="0"/>
          <w:szCs w:val="21"/>
          <w:highlight w:val="none"/>
        </w:rPr>
        <w:tab/>
      </w:r>
      <w:r>
        <w:rPr>
          <w:rFonts w:hint="eastAsia" w:ascii="宋体" w:hAnsi="宋体" w:cs="宋体"/>
          <w:color w:val="auto"/>
          <w:highlight w:val="none"/>
        </w:rPr>
        <w:fldChar w:fldCharType="begin"/>
      </w:r>
      <w:r>
        <w:rPr>
          <w:rFonts w:hint="eastAsia" w:ascii="宋体" w:hAnsi="宋体" w:cs="宋体"/>
          <w:color w:val="auto"/>
          <w:highlight w:val="none"/>
        </w:rPr>
        <w:instrText xml:space="preserve"> PAGEREF _Toc164 \h </w:instrText>
      </w:r>
      <w:r>
        <w:rPr>
          <w:rFonts w:hint="eastAsia" w:ascii="宋体" w:hAnsi="宋体" w:cs="宋体"/>
          <w:color w:val="auto"/>
          <w:highlight w:val="none"/>
        </w:rPr>
        <w:fldChar w:fldCharType="separate"/>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color w:val="auto"/>
          <w:highlight w:val="none"/>
        </w:rPr>
        <w:fldChar w:fldCharType="end"/>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"_Toc7586" </w:instrText>
      </w:r>
      <w:r>
        <w:rPr>
          <w:color w:val="auto"/>
          <w:highlight w:val="none"/>
        </w:rPr>
        <w:fldChar w:fldCharType="separate"/>
      </w:r>
      <w:r>
        <w:rPr>
          <w:rFonts w:hint="eastAsia" w:ascii="宋体" w:hAnsi="宋体" w:cs="宋体"/>
          <w:color w:val="auto"/>
          <w:szCs w:val="21"/>
          <w:highlight w:val="none"/>
        </w:rPr>
        <w:t>1.1基本要求</w:t>
      </w:r>
      <w:r>
        <w:rPr>
          <w:rFonts w:hint="eastAsia" w:ascii="宋体" w:hAnsi="宋体" w:cs="宋体"/>
          <w:color w:val="auto"/>
          <w:highlight w:val="none"/>
        </w:rPr>
        <w:tab/>
      </w:r>
      <w:r>
        <w:rPr>
          <w:rFonts w:hint="eastAsia" w:ascii="宋体" w:hAnsi="宋体" w:cs="宋体"/>
          <w:color w:val="auto"/>
          <w:highlight w:val="none"/>
        </w:rPr>
        <w:fldChar w:fldCharType="begin"/>
      </w:r>
      <w:r>
        <w:rPr>
          <w:rFonts w:hint="eastAsia" w:ascii="宋体" w:hAnsi="宋体" w:cs="宋体"/>
          <w:color w:val="auto"/>
          <w:highlight w:val="none"/>
        </w:rPr>
        <w:instrText xml:space="preserve"> PAGEREF _Toc7586 \h </w:instrText>
      </w:r>
      <w:r>
        <w:rPr>
          <w:rFonts w:hint="eastAsia" w:ascii="宋体" w:hAnsi="宋体" w:cs="宋体"/>
          <w:color w:val="auto"/>
          <w:highlight w:val="none"/>
        </w:rPr>
        <w:fldChar w:fldCharType="separate"/>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color w:val="auto"/>
          <w:highlight w:val="none"/>
        </w:rPr>
        <w:fldChar w:fldCharType="end"/>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"_Toc8657" </w:instrText>
      </w:r>
      <w:r>
        <w:rPr>
          <w:color w:val="auto"/>
          <w:highlight w:val="none"/>
        </w:rPr>
        <w:fldChar w:fldCharType="separate"/>
      </w:r>
      <w:r>
        <w:rPr>
          <w:rFonts w:hint="eastAsia" w:ascii="宋体" w:hAnsi="宋体" w:cs="宋体"/>
          <w:color w:val="auto"/>
          <w:szCs w:val="21"/>
          <w:highlight w:val="none"/>
        </w:rPr>
        <w:t>1.2标准</w:t>
      </w:r>
      <w:r>
        <w:rPr>
          <w:rFonts w:hint="eastAsia" w:ascii="宋体" w:hAnsi="宋体" w:cs="宋体"/>
          <w:color w:val="auto"/>
          <w:highlight w:val="none"/>
        </w:rPr>
        <w:tab/>
      </w:r>
      <w:r>
        <w:rPr>
          <w:rFonts w:hint="eastAsia" w:ascii="宋体" w:hAnsi="宋体" w:cs="宋体"/>
          <w:color w:val="auto"/>
          <w:highlight w:val="none"/>
        </w:rPr>
        <w:fldChar w:fldCharType="begin"/>
      </w:r>
      <w:r>
        <w:rPr>
          <w:rFonts w:hint="eastAsia" w:ascii="宋体" w:hAnsi="宋体" w:cs="宋体"/>
          <w:color w:val="auto"/>
          <w:highlight w:val="none"/>
        </w:rPr>
        <w:instrText xml:space="preserve"> PAGEREF _Toc8657 \h </w:instrText>
      </w:r>
      <w:r>
        <w:rPr>
          <w:rFonts w:hint="eastAsia" w:ascii="宋体" w:hAnsi="宋体" w:cs="宋体"/>
          <w:color w:val="auto"/>
          <w:highlight w:val="none"/>
        </w:rPr>
        <w:fldChar w:fldCharType="separate"/>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color w:val="auto"/>
          <w:highlight w:val="none"/>
        </w:rPr>
        <w:fldChar w:fldCharType="end"/>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"_Toc1148" </w:instrText>
      </w:r>
      <w:r>
        <w:rPr>
          <w:color w:val="auto"/>
          <w:highlight w:val="none"/>
        </w:rPr>
        <w:fldChar w:fldCharType="separate"/>
      </w:r>
      <w:r>
        <w:rPr>
          <w:rFonts w:hint="eastAsia" w:ascii="宋体" w:hAnsi="宋体" w:cs="宋体"/>
          <w:color w:val="auto"/>
          <w:szCs w:val="21"/>
          <w:highlight w:val="none"/>
        </w:rPr>
        <w:t>1.3技术要求</w:t>
      </w:r>
      <w:r>
        <w:rPr>
          <w:rFonts w:hint="eastAsia" w:ascii="宋体" w:hAnsi="宋体" w:cs="宋体"/>
          <w:color w:val="auto"/>
          <w:highlight w:val="none"/>
        </w:rPr>
        <w:tab/>
      </w:r>
      <w:r>
        <w:rPr>
          <w:rFonts w:hint="eastAsia" w:ascii="宋体" w:hAnsi="宋体" w:cs="宋体"/>
          <w:color w:val="auto"/>
          <w:highlight w:val="none"/>
        </w:rPr>
        <w:fldChar w:fldCharType="begin"/>
      </w:r>
      <w:r>
        <w:rPr>
          <w:rFonts w:hint="eastAsia" w:ascii="宋体" w:hAnsi="宋体" w:cs="宋体"/>
          <w:color w:val="auto"/>
          <w:highlight w:val="none"/>
        </w:rPr>
        <w:instrText xml:space="preserve"> PAGEREF _Toc1148 \h </w:instrText>
      </w:r>
      <w:r>
        <w:rPr>
          <w:rFonts w:hint="eastAsia" w:ascii="宋体" w:hAnsi="宋体" w:cs="宋体"/>
          <w:color w:val="auto"/>
          <w:highlight w:val="none"/>
        </w:rPr>
        <w:fldChar w:fldCharType="separate"/>
      </w:r>
      <w:r>
        <w:rPr>
          <w:rFonts w:hint="eastAsia" w:ascii="宋体" w:hAnsi="宋体" w:cs="宋体"/>
          <w:color w:val="auto"/>
          <w:highlight w:val="none"/>
        </w:rPr>
        <w:t>3</w:t>
      </w:r>
      <w:r>
        <w:rPr>
          <w:rFonts w:hint="eastAsia" w:ascii="宋体" w:hAnsi="宋体" w:cs="宋体"/>
          <w:color w:val="auto"/>
          <w:highlight w:val="none"/>
        </w:rPr>
        <w:fldChar w:fldCharType="end"/>
      </w:r>
      <w:r>
        <w:rPr>
          <w:rFonts w:hint="eastAsia" w:ascii="宋体" w:hAnsi="宋体" w:cs="宋体"/>
          <w:color w:val="auto"/>
          <w:highlight w:val="none"/>
        </w:rPr>
        <w:fldChar w:fldCharType="end"/>
      </w:r>
    </w:p>
    <w:p>
      <w:pPr>
        <w:pStyle w:val="11"/>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"_Toc19654" </w:instrText>
      </w:r>
      <w:r>
        <w:rPr>
          <w:color w:val="auto"/>
          <w:highlight w:val="none"/>
        </w:rPr>
        <w:fldChar w:fldCharType="separate"/>
      </w:r>
      <w:r>
        <w:rPr>
          <w:rFonts w:hint="eastAsia" w:ascii="宋体" w:hAnsi="宋体" w:cs="宋体"/>
          <w:b/>
          <w:bCs/>
          <w:snapToGrid w:val="0"/>
          <w:color w:val="auto"/>
          <w:spacing w:val="1"/>
          <w:w w:val="99"/>
          <w:kern w:val="0"/>
          <w:szCs w:val="21"/>
          <w:highlight w:val="none"/>
        </w:rPr>
        <w:t>二、10kV/0.4kV 1000kVA变压器技术规范书</w:t>
      </w:r>
      <w:r>
        <w:rPr>
          <w:rFonts w:hint="eastAsia" w:ascii="宋体" w:hAnsi="宋体" w:cs="宋体"/>
          <w:color w:val="auto"/>
          <w:highlight w:val="none"/>
        </w:rPr>
        <w:tab/>
      </w:r>
      <w:r>
        <w:rPr>
          <w:rFonts w:hint="eastAsia" w:ascii="宋体" w:hAnsi="宋体" w:cs="宋体"/>
          <w:color w:val="auto"/>
          <w:highlight w:val="none"/>
        </w:rPr>
        <w:fldChar w:fldCharType="begin"/>
      </w:r>
      <w:r>
        <w:rPr>
          <w:rFonts w:hint="eastAsia" w:ascii="宋体" w:hAnsi="宋体" w:cs="宋体"/>
          <w:color w:val="auto"/>
          <w:highlight w:val="none"/>
        </w:rPr>
        <w:instrText xml:space="preserve"> PAGEREF _Toc19654 \h </w:instrText>
      </w:r>
      <w:r>
        <w:rPr>
          <w:rFonts w:hint="eastAsia" w:ascii="宋体" w:hAnsi="宋体" w:cs="宋体"/>
          <w:color w:val="auto"/>
          <w:highlight w:val="none"/>
        </w:rPr>
        <w:fldChar w:fldCharType="separate"/>
      </w:r>
      <w:r>
        <w:rPr>
          <w:rFonts w:hint="eastAsia" w:ascii="宋体" w:hAnsi="宋体" w:cs="宋体"/>
          <w:color w:val="auto"/>
          <w:highlight w:val="none"/>
        </w:rPr>
        <w:t>14</w:t>
      </w:r>
      <w:r>
        <w:rPr>
          <w:rFonts w:hint="eastAsia" w:ascii="宋体" w:hAnsi="宋体" w:cs="宋体"/>
          <w:color w:val="auto"/>
          <w:highlight w:val="none"/>
        </w:rPr>
        <w:fldChar w:fldCharType="end"/>
      </w:r>
      <w:r>
        <w:rPr>
          <w:rFonts w:hint="eastAsia" w:ascii="宋体" w:hAnsi="宋体" w:cs="宋体"/>
          <w:color w:val="auto"/>
          <w:highlight w:val="none"/>
        </w:rPr>
        <w:fldChar w:fldCharType="end"/>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"_Toc10548" </w:instrText>
      </w:r>
      <w:r>
        <w:rPr>
          <w:color w:val="auto"/>
          <w:highlight w:val="none"/>
        </w:rPr>
        <w:fldChar w:fldCharType="separate"/>
      </w:r>
      <w:r>
        <w:rPr>
          <w:rFonts w:hint="eastAsia" w:ascii="宋体" w:hAnsi="宋体" w:cs="宋体"/>
          <w:color w:val="auto"/>
          <w:szCs w:val="21"/>
          <w:highlight w:val="none"/>
        </w:rPr>
        <w:t>1.1环境条件</w:t>
      </w:r>
      <w:r>
        <w:rPr>
          <w:rFonts w:hint="eastAsia" w:ascii="宋体" w:hAnsi="宋体" w:cs="宋体"/>
          <w:color w:val="auto"/>
          <w:highlight w:val="none"/>
        </w:rPr>
        <w:tab/>
      </w:r>
      <w:r>
        <w:rPr>
          <w:rFonts w:hint="eastAsia" w:ascii="宋体" w:hAnsi="宋体" w:cs="宋体"/>
          <w:color w:val="auto"/>
          <w:highlight w:val="none"/>
        </w:rPr>
        <w:fldChar w:fldCharType="begin"/>
      </w:r>
      <w:r>
        <w:rPr>
          <w:rFonts w:hint="eastAsia" w:ascii="宋体" w:hAnsi="宋体" w:cs="宋体"/>
          <w:color w:val="auto"/>
          <w:highlight w:val="none"/>
        </w:rPr>
        <w:instrText xml:space="preserve"> PAGEREF _Toc10548 \h </w:instrText>
      </w:r>
      <w:r>
        <w:rPr>
          <w:rFonts w:hint="eastAsia" w:ascii="宋体" w:hAnsi="宋体" w:cs="宋体"/>
          <w:color w:val="auto"/>
          <w:highlight w:val="none"/>
        </w:rPr>
        <w:fldChar w:fldCharType="separate"/>
      </w:r>
      <w:r>
        <w:rPr>
          <w:rFonts w:hint="eastAsia" w:ascii="宋体" w:hAnsi="宋体" w:cs="宋体"/>
          <w:color w:val="auto"/>
          <w:highlight w:val="none"/>
        </w:rPr>
        <w:t>14</w:t>
      </w:r>
      <w:r>
        <w:rPr>
          <w:rFonts w:hint="eastAsia" w:ascii="宋体" w:hAnsi="宋体" w:cs="宋体"/>
          <w:color w:val="auto"/>
          <w:highlight w:val="none"/>
        </w:rPr>
        <w:fldChar w:fldCharType="end"/>
      </w:r>
      <w:r>
        <w:rPr>
          <w:rFonts w:hint="eastAsia" w:ascii="宋体" w:hAnsi="宋体" w:cs="宋体"/>
          <w:color w:val="auto"/>
          <w:highlight w:val="none"/>
        </w:rPr>
        <w:fldChar w:fldCharType="end"/>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"_Toc8565" </w:instrText>
      </w:r>
      <w:r>
        <w:rPr>
          <w:color w:val="auto"/>
          <w:highlight w:val="none"/>
        </w:rPr>
        <w:fldChar w:fldCharType="separate"/>
      </w:r>
      <w:r>
        <w:rPr>
          <w:rFonts w:hint="eastAsia" w:ascii="宋体" w:hAnsi="宋体" w:cs="宋体"/>
          <w:color w:val="auto"/>
          <w:szCs w:val="21"/>
          <w:highlight w:val="none"/>
        </w:rPr>
        <w:t>1.2变压器型号</w:t>
      </w:r>
      <w:r>
        <w:rPr>
          <w:rFonts w:hint="eastAsia" w:ascii="宋体" w:hAnsi="宋体" w:cs="宋体"/>
          <w:color w:val="auto"/>
          <w:highlight w:val="none"/>
        </w:rPr>
        <w:tab/>
      </w:r>
      <w:r>
        <w:rPr>
          <w:rFonts w:hint="eastAsia" w:ascii="宋体" w:hAnsi="宋体" w:cs="宋体"/>
          <w:color w:val="auto"/>
          <w:highlight w:val="none"/>
        </w:rPr>
        <w:fldChar w:fldCharType="begin"/>
      </w:r>
      <w:r>
        <w:rPr>
          <w:rFonts w:hint="eastAsia" w:ascii="宋体" w:hAnsi="宋体" w:cs="宋体"/>
          <w:color w:val="auto"/>
          <w:highlight w:val="none"/>
        </w:rPr>
        <w:instrText xml:space="preserve"> PAGEREF _Toc8565 \h </w:instrText>
      </w:r>
      <w:r>
        <w:rPr>
          <w:rFonts w:hint="eastAsia" w:ascii="宋体" w:hAnsi="宋体" w:cs="宋体"/>
          <w:color w:val="auto"/>
          <w:highlight w:val="none"/>
        </w:rPr>
        <w:fldChar w:fldCharType="separate"/>
      </w:r>
      <w:r>
        <w:rPr>
          <w:rFonts w:hint="eastAsia" w:ascii="宋体" w:hAnsi="宋体" w:cs="宋体"/>
          <w:color w:val="auto"/>
          <w:highlight w:val="none"/>
        </w:rPr>
        <w:t>14</w:t>
      </w:r>
      <w:r>
        <w:rPr>
          <w:rFonts w:hint="eastAsia" w:ascii="宋体" w:hAnsi="宋体" w:cs="宋体"/>
          <w:color w:val="auto"/>
          <w:highlight w:val="none"/>
        </w:rPr>
        <w:fldChar w:fldCharType="end"/>
      </w:r>
      <w:r>
        <w:rPr>
          <w:rFonts w:hint="eastAsia" w:ascii="宋体" w:hAnsi="宋体" w:cs="宋体"/>
          <w:color w:val="auto"/>
          <w:highlight w:val="none"/>
        </w:rPr>
        <w:fldChar w:fldCharType="end"/>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"_Toc18371" </w:instrText>
      </w:r>
      <w:r>
        <w:rPr>
          <w:color w:val="auto"/>
          <w:highlight w:val="none"/>
        </w:rPr>
        <w:fldChar w:fldCharType="separate"/>
      </w:r>
      <w:r>
        <w:rPr>
          <w:rFonts w:hint="eastAsia" w:ascii="宋体" w:hAnsi="宋体" w:cs="宋体"/>
          <w:color w:val="auto"/>
          <w:szCs w:val="21"/>
          <w:highlight w:val="none"/>
        </w:rPr>
        <w:t>1.3标准规范</w:t>
      </w:r>
      <w:r>
        <w:rPr>
          <w:rFonts w:hint="eastAsia" w:ascii="宋体" w:hAnsi="宋体" w:cs="宋体"/>
          <w:color w:val="auto"/>
          <w:highlight w:val="none"/>
        </w:rPr>
        <w:tab/>
      </w:r>
      <w:r>
        <w:rPr>
          <w:rFonts w:hint="eastAsia" w:ascii="宋体" w:hAnsi="宋体" w:cs="宋体"/>
          <w:color w:val="auto"/>
          <w:highlight w:val="none"/>
        </w:rPr>
        <w:fldChar w:fldCharType="begin"/>
      </w:r>
      <w:r>
        <w:rPr>
          <w:rFonts w:hint="eastAsia" w:ascii="宋体" w:hAnsi="宋体" w:cs="宋体"/>
          <w:color w:val="auto"/>
          <w:highlight w:val="none"/>
        </w:rPr>
        <w:instrText xml:space="preserve"> PAGEREF _Toc18371 \h </w:instrText>
      </w:r>
      <w:r>
        <w:rPr>
          <w:rFonts w:hint="eastAsia" w:ascii="宋体" w:hAnsi="宋体" w:cs="宋体"/>
          <w:color w:val="auto"/>
          <w:highlight w:val="none"/>
        </w:rPr>
        <w:fldChar w:fldCharType="separate"/>
      </w:r>
      <w:r>
        <w:rPr>
          <w:rFonts w:hint="eastAsia" w:ascii="宋体" w:hAnsi="宋体" w:cs="宋体"/>
          <w:color w:val="auto"/>
          <w:highlight w:val="none"/>
        </w:rPr>
        <w:t>14</w:t>
      </w:r>
      <w:r>
        <w:rPr>
          <w:rFonts w:hint="eastAsia" w:ascii="宋体" w:hAnsi="宋体" w:cs="宋体"/>
          <w:color w:val="auto"/>
          <w:highlight w:val="none"/>
        </w:rPr>
        <w:fldChar w:fldCharType="end"/>
      </w:r>
      <w:r>
        <w:rPr>
          <w:rFonts w:hint="eastAsia" w:ascii="宋体" w:hAnsi="宋体" w:cs="宋体"/>
          <w:color w:val="auto"/>
          <w:highlight w:val="none"/>
        </w:rPr>
        <w:fldChar w:fldCharType="end"/>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"_Toc16533" </w:instrText>
      </w:r>
      <w:r>
        <w:rPr>
          <w:color w:val="auto"/>
          <w:highlight w:val="none"/>
        </w:rPr>
        <w:fldChar w:fldCharType="separate"/>
      </w:r>
      <w:r>
        <w:rPr>
          <w:rFonts w:hint="eastAsia" w:ascii="宋体" w:hAnsi="宋体" w:cs="宋体"/>
          <w:color w:val="auto"/>
          <w:szCs w:val="21"/>
          <w:highlight w:val="none"/>
        </w:rPr>
        <w:t>1.4系统接地</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5</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"_Toc2076" </w:instrText>
      </w:r>
      <w:r>
        <w:rPr>
          <w:color w:val="auto"/>
          <w:highlight w:val="none"/>
        </w:rPr>
        <w:fldChar w:fldCharType="separate"/>
      </w:r>
      <w:r>
        <w:rPr>
          <w:rFonts w:hint="eastAsia" w:ascii="宋体" w:hAnsi="宋体" w:cs="宋体"/>
          <w:color w:val="auto"/>
          <w:szCs w:val="21"/>
          <w:highlight w:val="none"/>
        </w:rPr>
        <w:t>1.5额定频率</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5</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"_Toc31744" </w:instrText>
      </w:r>
      <w:r>
        <w:rPr>
          <w:color w:val="auto"/>
          <w:highlight w:val="none"/>
        </w:rPr>
        <w:fldChar w:fldCharType="separate"/>
      </w:r>
      <w:r>
        <w:rPr>
          <w:rFonts w:hint="eastAsia" w:ascii="宋体" w:hAnsi="宋体" w:cs="宋体"/>
          <w:color w:val="auto"/>
          <w:szCs w:val="21"/>
          <w:highlight w:val="none"/>
        </w:rPr>
        <w:t>1.6额定容量</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5</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"_Toc24475" </w:instrText>
      </w:r>
      <w:r>
        <w:rPr>
          <w:color w:val="auto"/>
          <w:highlight w:val="none"/>
        </w:rPr>
        <w:fldChar w:fldCharType="separate"/>
      </w:r>
      <w:r>
        <w:rPr>
          <w:rFonts w:hint="eastAsia" w:ascii="宋体" w:hAnsi="宋体" w:cs="宋体"/>
          <w:color w:val="auto"/>
          <w:szCs w:val="21"/>
          <w:highlight w:val="none"/>
        </w:rPr>
        <w:t>1.7额定变比与分接头调压范围</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5</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"_Toc23265" </w:instrText>
      </w:r>
      <w:r>
        <w:rPr>
          <w:color w:val="auto"/>
          <w:highlight w:val="none"/>
        </w:rPr>
        <w:fldChar w:fldCharType="separate"/>
      </w:r>
      <w:r>
        <w:rPr>
          <w:rFonts w:hint="eastAsia" w:ascii="宋体" w:hAnsi="宋体" w:cs="宋体"/>
          <w:color w:val="auto"/>
          <w:szCs w:val="21"/>
          <w:highlight w:val="none"/>
        </w:rPr>
        <w:t>1.8绝缘水平</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5</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"_Toc2810" </w:instrText>
      </w:r>
      <w:r>
        <w:rPr>
          <w:color w:val="auto"/>
          <w:highlight w:val="none"/>
        </w:rPr>
        <w:fldChar w:fldCharType="separate"/>
      </w:r>
      <w:r>
        <w:rPr>
          <w:rFonts w:hint="eastAsia" w:ascii="宋体" w:hAnsi="宋体" w:cs="宋体"/>
          <w:color w:val="auto"/>
          <w:szCs w:val="21"/>
          <w:highlight w:val="none"/>
        </w:rPr>
        <w:t>1.9短路阻抗</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5</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"_Toc6242" </w:instrText>
      </w:r>
      <w:r>
        <w:rPr>
          <w:color w:val="auto"/>
          <w:highlight w:val="none"/>
        </w:rPr>
        <w:fldChar w:fldCharType="separate"/>
      </w:r>
      <w:r>
        <w:rPr>
          <w:rFonts w:hint="eastAsia" w:ascii="宋体" w:hAnsi="宋体" w:cs="宋体"/>
          <w:color w:val="auto"/>
          <w:szCs w:val="21"/>
          <w:highlight w:val="none"/>
        </w:rPr>
        <w:t>1.10温升限值</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5</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"_Toc19653" </w:instrText>
      </w:r>
      <w:r>
        <w:rPr>
          <w:color w:val="auto"/>
          <w:highlight w:val="none"/>
        </w:rPr>
        <w:fldChar w:fldCharType="separate"/>
      </w:r>
      <w:r>
        <w:rPr>
          <w:rFonts w:hint="eastAsia" w:ascii="宋体" w:hAnsi="宋体" w:cs="宋体"/>
          <w:color w:val="auto"/>
          <w:szCs w:val="21"/>
          <w:highlight w:val="none"/>
        </w:rPr>
        <w:t>1.11绕组连接和向量组</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6</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"_Toc14523" </w:instrText>
      </w:r>
      <w:r>
        <w:rPr>
          <w:color w:val="auto"/>
          <w:highlight w:val="none"/>
        </w:rPr>
        <w:fldChar w:fldCharType="separate"/>
      </w:r>
      <w:r>
        <w:rPr>
          <w:rFonts w:hint="eastAsia" w:ascii="宋体" w:hAnsi="宋体" w:cs="宋体"/>
          <w:color w:val="auto"/>
          <w:szCs w:val="21"/>
          <w:highlight w:val="none"/>
        </w:rPr>
        <w:t>1.12损耗及基本技术参数</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6</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"_Toc15530" </w:instrText>
      </w:r>
      <w:r>
        <w:rPr>
          <w:color w:val="auto"/>
          <w:highlight w:val="none"/>
        </w:rPr>
        <w:fldChar w:fldCharType="separate"/>
      </w:r>
      <w:r>
        <w:rPr>
          <w:rFonts w:hint="eastAsia" w:ascii="宋体" w:hAnsi="宋体" w:cs="宋体"/>
          <w:color w:val="auto"/>
          <w:szCs w:val="21"/>
          <w:highlight w:val="none"/>
        </w:rPr>
        <w:t>1.13短路的耐受能力</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7</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"_Toc28630" </w:instrText>
      </w:r>
      <w:r>
        <w:rPr>
          <w:color w:val="auto"/>
          <w:highlight w:val="none"/>
        </w:rPr>
        <w:fldChar w:fldCharType="separate"/>
      </w:r>
      <w:r>
        <w:rPr>
          <w:rFonts w:hint="eastAsia" w:ascii="宋体" w:hAnsi="宋体" w:cs="宋体"/>
          <w:color w:val="auto"/>
          <w:szCs w:val="21"/>
          <w:highlight w:val="none"/>
        </w:rPr>
        <w:t>1.14谐波电压</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7</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"_Toc5661" </w:instrText>
      </w:r>
      <w:r>
        <w:rPr>
          <w:color w:val="auto"/>
          <w:highlight w:val="none"/>
        </w:rPr>
        <w:fldChar w:fldCharType="separate"/>
      </w:r>
      <w:r>
        <w:rPr>
          <w:rFonts w:hint="eastAsia" w:ascii="宋体" w:hAnsi="宋体" w:cs="宋体"/>
          <w:color w:val="auto"/>
          <w:szCs w:val="21"/>
          <w:highlight w:val="none"/>
        </w:rPr>
        <w:t>1.15磁路的磁通密度</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7</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"_Toc11738" </w:instrText>
      </w:r>
      <w:r>
        <w:rPr>
          <w:color w:val="auto"/>
          <w:highlight w:val="none"/>
        </w:rPr>
        <w:fldChar w:fldCharType="separate"/>
      </w:r>
      <w:r>
        <w:rPr>
          <w:rFonts w:hint="eastAsia" w:ascii="宋体" w:hAnsi="宋体" w:cs="宋体"/>
          <w:color w:val="auto"/>
          <w:szCs w:val="21"/>
          <w:highlight w:val="none"/>
        </w:rPr>
        <w:t>1.16绕组绝缘等级</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7</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"_Toc10521" </w:instrText>
      </w:r>
      <w:r>
        <w:rPr>
          <w:color w:val="auto"/>
          <w:highlight w:val="none"/>
        </w:rPr>
        <w:fldChar w:fldCharType="separate"/>
      </w:r>
      <w:r>
        <w:rPr>
          <w:rFonts w:hint="eastAsia" w:ascii="宋体" w:hAnsi="宋体" w:cs="宋体"/>
          <w:color w:val="auto"/>
          <w:szCs w:val="21"/>
          <w:highlight w:val="none"/>
        </w:rPr>
        <w:t>1.17噪声、振动</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7</w:t>
      </w:r>
    </w:p>
    <w:p>
      <w:pPr>
        <w:pStyle w:val="12"/>
        <w:tabs>
          <w:tab w:val="right" w:leader="dot" w:pos="8827"/>
        </w:tabs>
        <w:rPr>
          <w:rFonts w:hint="eastAsia" w:ascii="宋体" w:hAnsi="宋体" w:cs="宋体"/>
          <w:color w:val="auto"/>
          <w:szCs w:val="21"/>
          <w:highlight w:val="none"/>
        </w:rPr>
      </w:pPr>
      <w:r>
        <w:rPr>
          <w:color w:val="auto"/>
          <w:highlight w:val="none"/>
        </w:rPr>
        <w:fldChar w:fldCharType="begin"/>
      </w:r>
      <w:r>
        <w:rPr>
          <w:color w:val="auto"/>
          <w:highlight w:val="none"/>
        </w:rPr>
        <w:instrText xml:space="preserve"> HYPERLINK \l "_Toc97879784" </w:instrText>
      </w:r>
      <w:r>
        <w:rPr>
          <w:color w:val="auto"/>
          <w:highlight w:val="none"/>
        </w:rPr>
        <w:fldChar w:fldCharType="separate"/>
      </w:r>
      <w:r>
        <w:rPr>
          <w:rFonts w:hint="eastAsia" w:ascii="宋体" w:hAnsi="宋体" w:cs="宋体"/>
          <w:color w:val="auto"/>
          <w:szCs w:val="21"/>
          <w:highlight w:val="none"/>
        </w:rPr>
        <w:t>1.18绕组和绕组结构</w:t>
      </w:r>
      <w:r>
        <w:rPr>
          <w:rFonts w:hint="eastAsia" w:ascii="宋体" w:hAnsi="宋体" w:cs="宋体"/>
          <w:color w:val="auto"/>
          <w:szCs w:val="21"/>
          <w:highlight w:val="none"/>
        </w:rPr>
        <w:tab/>
      </w:r>
      <w:r>
        <w:rPr>
          <w:rFonts w:hint="eastAsia" w:ascii="宋体" w:hAnsi="宋体" w:cs="宋体"/>
          <w:color w:val="auto"/>
          <w:szCs w:val="21"/>
          <w:highlight w:val="none"/>
        </w:rPr>
        <w:fldChar w:fldCharType="begin"/>
      </w:r>
      <w:r>
        <w:rPr>
          <w:rFonts w:hint="eastAsia" w:ascii="宋体" w:hAnsi="宋体" w:cs="宋体"/>
          <w:color w:val="auto"/>
          <w:szCs w:val="21"/>
          <w:highlight w:val="none"/>
        </w:rPr>
        <w:instrText xml:space="preserve"> PAGEREF _Toc97879784 \h </w:instrText>
      </w:r>
      <w:r>
        <w:rPr>
          <w:rFonts w:hint="eastAsia" w:ascii="宋体" w:hAnsi="宋体" w:cs="宋体"/>
          <w:color w:val="auto"/>
          <w:szCs w:val="21"/>
          <w:highlight w:val="none"/>
        </w:rPr>
        <w:fldChar w:fldCharType="separate"/>
      </w:r>
      <w:r>
        <w:rPr>
          <w:rFonts w:hint="eastAsia" w:ascii="宋体" w:hAnsi="宋体" w:cs="宋体"/>
          <w:color w:val="auto"/>
          <w:szCs w:val="21"/>
          <w:highlight w:val="none"/>
        </w:rPr>
        <w:t>1</w:t>
      </w:r>
      <w:r>
        <w:rPr>
          <w:rFonts w:hint="eastAsia" w:ascii="宋体" w:hAnsi="宋体" w:cs="宋体"/>
          <w:color w:val="auto"/>
          <w:szCs w:val="21"/>
          <w:highlight w:val="none"/>
        </w:rPr>
        <w:fldChar w:fldCharType="end"/>
      </w:r>
      <w:r>
        <w:rPr>
          <w:rFonts w:hint="eastAsia" w:ascii="宋体" w:hAnsi="宋体" w:cs="宋体"/>
          <w:color w:val="auto"/>
          <w:szCs w:val="21"/>
          <w:highlight w:val="none"/>
        </w:rPr>
        <w:fldChar w:fldCharType="end"/>
      </w:r>
      <w:r>
        <w:rPr>
          <w:rFonts w:hint="eastAsia" w:ascii="宋体" w:hAnsi="宋体" w:cs="宋体"/>
          <w:color w:val="auto"/>
          <w:szCs w:val="21"/>
          <w:highlight w:val="none"/>
        </w:rPr>
        <w:t>8</w:t>
      </w:r>
    </w:p>
    <w:p>
      <w:pPr>
        <w:pStyle w:val="12"/>
        <w:tabs>
          <w:tab w:val="right" w:leader="dot" w:pos="8827"/>
        </w:tabs>
        <w:rPr>
          <w:rFonts w:hint="eastAsia" w:ascii="宋体" w:hAnsi="宋体" w:cs="宋体"/>
          <w:color w:val="auto"/>
          <w:szCs w:val="21"/>
          <w:highlight w:val="none"/>
        </w:rPr>
      </w:pPr>
      <w:r>
        <w:rPr>
          <w:color w:val="auto"/>
          <w:highlight w:val="none"/>
        </w:rPr>
        <w:fldChar w:fldCharType="begin"/>
      </w:r>
      <w:r>
        <w:rPr>
          <w:color w:val="auto"/>
          <w:highlight w:val="none"/>
        </w:rPr>
        <w:instrText xml:space="preserve"> HYPERLINK \l "_Toc97879785" </w:instrText>
      </w:r>
      <w:r>
        <w:rPr>
          <w:color w:val="auto"/>
          <w:highlight w:val="none"/>
        </w:rPr>
        <w:fldChar w:fldCharType="separate"/>
      </w:r>
      <w:r>
        <w:rPr>
          <w:rFonts w:hint="eastAsia" w:ascii="宋体" w:hAnsi="宋体" w:cs="宋体"/>
          <w:color w:val="auto"/>
          <w:szCs w:val="21"/>
          <w:highlight w:val="none"/>
        </w:rPr>
        <w:t>1.19变压器外壳（室内型）</w:t>
      </w:r>
      <w:r>
        <w:rPr>
          <w:rFonts w:hint="eastAsia" w:ascii="宋体" w:hAnsi="宋体" w:cs="宋体"/>
          <w:color w:val="auto"/>
          <w:szCs w:val="21"/>
          <w:highlight w:val="none"/>
        </w:rPr>
        <w:tab/>
      </w:r>
      <w:r>
        <w:rPr>
          <w:rFonts w:hint="eastAsia" w:ascii="宋体" w:hAnsi="宋体" w:cs="宋体"/>
          <w:color w:val="auto"/>
          <w:szCs w:val="21"/>
          <w:highlight w:val="none"/>
        </w:rPr>
        <w:fldChar w:fldCharType="begin"/>
      </w:r>
      <w:r>
        <w:rPr>
          <w:rFonts w:hint="eastAsia" w:ascii="宋体" w:hAnsi="宋体" w:cs="宋体"/>
          <w:color w:val="auto"/>
          <w:szCs w:val="21"/>
          <w:highlight w:val="none"/>
        </w:rPr>
        <w:instrText xml:space="preserve"> PAGEREF _Toc97879785 \h </w:instrText>
      </w:r>
      <w:r>
        <w:rPr>
          <w:rFonts w:hint="eastAsia" w:ascii="宋体" w:hAnsi="宋体" w:cs="宋体"/>
          <w:color w:val="auto"/>
          <w:szCs w:val="21"/>
          <w:highlight w:val="none"/>
        </w:rPr>
        <w:fldChar w:fldCharType="separate"/>
      </w:r>
      <w:r>
        <w:rPr>
          <w:rFonts w:hint="eastAsia" w:ascii="宋体" w:hAnsi="宋体" w:cs="宋体"/>
          <w:color w:val="auto"/>
          <w:szCs w:val="21"/>
          <w:highlight w:val="none"/>
        </w:rPr>
        <w:t>1</w:t>
      </w:r>
      <w:r>
        <w:rPr>
          <w:rFonts w:hint="eastAsia" w:ascii="宋体" w:hAnsi="宋体" w:cs="宋体"/>
          <w:color w:val="auto"/>
          <w:szCs w:val="21"/>
          <w:highlight w:val="none"/>
        </w:rPr>
        <w:fldChar w:fldCharType="end"/>
      </w:r>
      <w:r>
        <w:rPr>
          <w:rFonts w:hint="eastAsia" w:ascii="宋体" w:hAnsi="宋体" w:cs="宋体"/>
          <w:color w:val="auto"/>
          <w:szCs w:val="21"/>
          <w:highlight w:val="none"/>
        </w:rPr>
        <w:fldChar w:fldCharType="end"/>
      </w:r>
      <w:r>
        <w:rPr>
          <w:rFonts w:hint="eastAsia" w:ascii="宋体" w:hAnsi="宋体" w:cs="宋体"/>
          <w:color w:val="auto"/>
          <w:szCs w:val="21"/>
          <w:highlight w:val="none"/>
        </w:rPr>
        <w:t>8</w:t>
      </w:r>
    </w:p>
    <w:p>
      <w:pPr>
        <w:pStyle w:val="12"/>
        <w:tabs>
          <w:tab w:val="right" w:leader="dot" w:pos="8827"/>
        </w:tabs>
        <w:rPr>
          <w:rFonts w:hint="eastAsia" w:ascii="宋体" w:hAnsi="宋体" w:cs="宋体"/>
          <w:color w:val="auto"/>
          <w:szCs w:val="21"/>
          <w:highlight w:val="none"/>
        </w:rPr>
      </w:pPr>
      <w:r>
        <w:rPr>
          <w:color w:val="auto"/>
          <w:highlight w:val="none"/>
        </w:rPr>
        <w:fldChar w:fldCharType="begin"/>
      </w:r>
      <w:r>
        <w:rPr>
          <w:color w:val="auto"/>
          <w:highlight w:val="none"/>
        </w:rPr>
        <w:instrText xml:space="preserve"> HYPERLINK \l "_Toc97879786" </w:instrText>
      </w:r>
      <w:r>
        <w:rPr>
          <w:color w:val="auto"/>
          <w:highlight w:val="none"/>
        </w:rPr>
        <w:fldChar w:fldCharType="separate"/>
      </w:r>
      <w:r>
        <w:rPr>
          <w:rFonts w:hint="eastAsia" w:ascii="宋体" w:hAnsi="宋体" w:cs="宋体"/>
          <w:color w:val="auto"/>
          <w:szCs w:val="21"/>
          <w:highlight w:val="none"/>
        </w:rPr>
        <w:t>1.20变压器铁芯</w:t>
      </w:r>
      <w:r>
        <w:rPr>
          <w:rFonts w:hint="eastAsia" w:ascii="宋体" w:hAnsi="宋体" w:cs="宋体"/>
          <w:color w:val="auto"/>
          <w:szCs w:val="21"/>
          <w:highlight w:val="none"/>
        </w:rPr>
        <w:tab/>
      </w:r>
      <w:r>
        <w:rPr>
          <w:rFonts w:hint="eastAsia" w:ascii="宋体" w:hAnsi="宋体" w:cs="宋体"/>
          <w:color w:val="auto"/>
          <w:szCs w:val="21"/>
          <w:highlight w:val="none"/>
        </w:rPr>
        <w:fldChar w:fldCharType="begin"/>
      </w:r>
      <w:r>
        <w:rPr>
          <w:rFonts w:hint="eastAsia" w:ascii="宋体" w:hAnsi="宋体" w:cs="宋体"/>
          <w:color w:val="auto"/>
          <w:szCs w:val="21"/>
          <w:highlight w:val="none"/>
        </w:rPr>
        <w:instrText xml:space="preserve"> PAGEREF _Toc97879786 \h </w:instrText>
      </w:r>
      <w:r>
        <w:rPr>
          <w:rFonts w:hint="eastAsia" w:ascii="宋体" w:hAnsi="宋体" w:cs="宋体"/>
          <w:color w:val="auto"/>
          <w:szCs w:val="21"/>
          <w:highlight w:val="none"/>
        </w:rPr>
        <w:fldChar w:fldCharType="separate"/>
      </w:r>
      <w:r>
        <w:rPr>
          <w:rFonts w:hint="eastAsia" w:ascii="宋体" w:hAnsi="宋体" w:cs="宋体"/>
          <w:color w:val="auto"/>
          <w:szCs w:val="21"/>
          <w:highlight w:val="none"/>
        </w:rPr>
        <w:t>1</w:t>
      </w:r>
      <w:r>
        <w:rPr>
          <w:rFonts w:hint="eastAsia" w:ascii="宋体" w:hAnsi="宋体" w:cs="宋体"/>
          <w:color w:val="auto"/>
          <w:szCs w:val="21"/>
          <w:highlight w:val="none"/>
        </w:rPr>
        <w:fldChar w:fldCharType="end"/>
      </w:r>
      <w:r>
        <w:rPr>
          <w:rFonts w:hint="eastAsia" w:ascii="宋体" w:hAnsi="宋体" w:cs="宋体"/>
          <w:color w:val="auto"/>
          <w:szCs w:val="21"/>
          <w:highlight w:val="none"/>
        </w:rPr>
        <w:fldChar w:fldCharType="end"/>
      </w:r>
      <w:r>
        <w:rPr>
          <w:rFonts w:hint="eastAsia" w:ascii="宋体" w:hAnsi="宋体" w:cs="宋体"/>
          <w:color w:val="auto"/>
          <w:szCs w:val="21"/>
          <w:highlight w:val="none"/>
        </w:rPr>
        <w:t>8</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"_Toc2406" </w:instrText>
      </w:r>
      <w:r>
        <w:rPr>
          <w:color w:val="auto"/>
          <w:highlight w:val="none"/>
        </w:rPr>
        <w:fldChar w:fldCharType="separate"/>
      </w:r>
      <w:r>
        <w:rPr>
          <w:rFonts w:hint="eastAsia" w:ascii="宋体" w:hAnsi="宋体" w:cs="宋体"/>
          <w:color w:val="auto"/>
          <w:szCs w:val="21"/>
          <w:highlight w:val="none"/>
        </w:rPr>
        <w:t>1.21真空浇注</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9</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"_Toc26131" </w:instrText>
      </w:r>
      <w:r>
        <w:rPr>
          <w:color w:val="auto"/>
          <w:highlight w:val="none"/>
        </w:rPr>
        <w:fldChar w:fldCharType="separate"/>
      </w:r>
      <w:r>
        <w:rPr>
          <w:rFonts w:hint="eastAsia" w:ascii="宋体" w:hAnsi="宋体" w:cs="宋体"/>
          <w:color w:val="auto"/>
          <w:szCs w:val="21"/>
          <w:highlight w:val="none"/>
        </w:rPr>
        <w:t>1.22冷却设备</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9</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"_Toc15422" </w:instrText>
      </w:r>
      <w:r>
        <w:rPr>
          <w:color w:val="auto"/>
          <w:highlight w:val="none"/>
        </w:rPr>
        <w:fldChar w:fldCharType="separate"/>
      </w:r>
      <w:r>
        <w:rPr>
          <w:rFonts w:hint="eastAsia" w:ascii="宋体" w:hAnsi="宋体" w:cs="宋体"/>
          <w:color w:val="auto"/>
          <w:szCs w:val="21"/>
          <w:highlight w:val="none"/>
        </w:rPr>
        <w:t>1.24分接头装置</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9</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"_Toc1623" </w:instrText>
      </w:r>
      <w:r>
        <w:rPr>
          <w:color w:val="auto"/>
          <w:highlight w:val="none"/>
        </w:rPr>
        <w:fldChar w:fldCharType="separate"/>
      </w:r>
      <w:r>
        <w:rPr>
          <w:rFonts w:hint="eastAsia" w:ascii="宋体" w:hAnsi="宋体" w:cs="宋体"/>
          <w:color w:val="auto"/>
          <w:szCs w:val="21"/>
          <w:highlight w:val="none"/>
        </w:rPr>
        <w:t>1.25变压器端子</w:t>
      </w:r>
      <w:r>
        <w:rPr>
          <w:rFonts w:hint="eastAsia" w:ascii="宋体" w:hAnsi="宋体" w:cs="宋体"/>
          <w:color w:val="auto"/>
          <w:highlight w:val="none"/>
        </w:rPr>
        <w:tab/>
      </w:r>
      <w:r>
        <w:rPr>
          <w:rFonts w:hint="eastAsia" w:ascii="宋体" w:hAnsi="宋体" w:cs="宋体"/>
          <w:color w:val="auto"/>
          <w:highlight w:val="none"/>
        </w:rPr>
        <w:t>1</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9</w:t>
      </w:r>
    </w:p>
    <w:p>
      <w:pPr>
        <w:pStyle w:val="12"/>
        <w:tabs>
          <w:tab w:val="right" w:leader="dot" w:pos="8827"/>
        </w:tabs>
        <w:ind w:left="0" w:leftChars="0" w:firstLine="420" w:firstLineChars="200"/>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"_Toc7263" </w:instrText>
      </w:r>
      <w:r>
        <w:rPr>
          <w:color w:val="auto"/>
          <w:highlight w:val="none"/>
        </w:rPr>
        <w:fldChar w:fldCharType="separate"/>
      </w:r>
      <w:r>
        <w:rPr>
          <w:rFonts w:hint="eastAsia" w:ascii="宋体" w:hAnsi="宋体" w:cs="宋体"/>
          <w:color w:val="auto"/>
          <w:szCs w:val="21"/>
          <w:highlight w:val="none"/>
        </w:rPr>
        <w:t>1.26变压器安装</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0</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"_Toc12050" </w:instrText>
      </w:r>
      <w:r>
        <w:rPr>
          <w:color w:val="auto"/>
          <w:highlight w:val="none"/>
        </w:rPr>
        <w:fldChar w:fldCharType="separate"/>
      </w:r>
      <w:r>
        <w:rPr>
          <w:rFonts w:hint="eastAsia" w:ascii="宋体" w:hAnsi="宋体" w:cs="宋体"/>
          <w:color w:val="auto"/>
          <w:szCs w:val="21"/>
          <w:highlight w:val="none"/>
        </w:rPr>
        <w:t>1.27接地</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0</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"_Toc29678" </w:instrText>
      </w:r>
      <w:r>
        <w:rPr>
          <w:color w:val="auto"/>
          <w:highlight w:val="none"/>
        </w:rPr>
        <w:fldChar w:fldCharType="separate"/>
      </w:r>
      <w:r>
        <w:rPr>
          <w:rFonts w:hint="eastAsia" w:ascii="宋体" w:hAnsi="宋体" w:cs="宋体"/>
          <w:color w:val="auto"/>
          <w:szCs w:val="21"/>
          <w:highlight w:val="none"/>
        </w:rPr>
        <w:t>1.28端子标识</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0</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"_Toc7660" </w:instrText>
      </w:r>
      <w:r>
        <w:rPr>
          <w:color w:val="auto"/>
          <w:highlight w:val="none"/>
        </w:rPr>
        <w:fldChar w:fldCharType="separate"/>
      </w:r>
      <w:r>
        <w:rPr>
          <w:rFonts w:hint="eastAsia" w:ascii="宋体" w:hAnsi="宋体" w:cs="宋体"/>
          <w:color w:val="auto"/>
          <w:szCs w:val="21"/>
          <w:highlight w:val="none"/>
        </w:rPr>
        <w:t>1.29导体净距</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0</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"_Toc10225" </w:instrText>
      </w:r>
      <w:r>
        <w:rPr>
          <w:color w:val="auto"/>
          <w:highlight w:val="none"/>
        </w:rPr>
        <w:fldChar w:fldCharType="separate"/>
      </w:r>
      <w:r>
        <w:rPr>
          <w:rFonts w:hint="eastAsia" w:ascii="宋体" w:hAnsi="宋体" w:cs="宋体"/>
          <w:color w:val="auto"/>
          <w:szCs w:val="21"/>
          <w:highlight w:val="none"/>
        </w:rPr>
        <w:t>1.30铭牌及连接件</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0</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"_Toc23767" </w:instrText>
      </w:r>
      <w:r>
        <w:rPr>
          <w:color w:val="auto"/>
          <w:highlight w:val="none"/>
        </w:rPr>
        <w:fldChar w:fldCharType="separate"/>
      </w:r>
      <w:r>
        <w:rPr>
          <w:rFonts w:hint="eastAsia" w:ascii="宋体" w:hAnsi="宋体" w:cs="宋体"/>
          <w:color w:val="auto"/>
          <w:szCs w:val="21"/>
          <w:highlight w:val="none"/>
        </w:rPr>
        <w:t>1.31内部接地</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0</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"_Toc17523" </w:instrText>
      </w:r>
      <w:r>
        <w:rPr>
          <w:color w:val="auto"/>
          <w:highlight w:val="none"/>
        </w:rPr>
        <w:fldChar w:fldCharType="separate"/>
      </w:r>
      <w:r>
        <w:rPr>
          <w:rFonts w:hint="eastAsia" w:ascii="宋体" w:hAnsi="宋体" w:cs="宋体"/>
          <w:color w:val="auto"/>
          <w:szCs w:val="21"/>
          <w:highlight w:val="none"/>
        </w:rPr>
        <w:t>1.32磁路的接地</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0</w:t>
      </w:r>
    </w:p>
    <w:p>
      <w:pPr>
        <w:pStyle w:val="12"/>
        <w:tabs>
          <w:tab w:val="right" w:leader="dot" w:pos="8827"/>
        </w:tabs>
        <w:rPr>
          <w:rFonts w:hint="eastAsia" w:ascii="宋体" w:hAnsi="宋体" w:cs="宋体"/>
          <w:color w:val="auto"/>
          <w:szCs w:val="21"/>
          <w:highlight w:val="none"/>
        </w:rPr>
      </w:pPr>
      <w:r>
        <w:rPr>
          <w:color w:val="auto"/>
          <w:highlight w:val="none"/>
        </w:rPr>
        <w:fldChar w:fldCharType="begin"/>
      </w:r>
      <w:r>
        <w:rPr>
          <w:color w:val="auto"/>
          <w:highlight w:val="none"/>
        </w:rPr>
        <w:instrText xml:space="preserve"> HYPERLINK \l "_Toc15655" </w:instrText>
      </w:r>
      <w:r>
        <w:rPr>
          <w:color w:val="auto"/>
          <w:highlight w:val="none"/>
        </w:rPr>
        <w:fldChar w:fldCharType="separate"/>
      </w:r>
      <w:r>
        <w:rPr>
          <w:rFonts w:hint="eastAsia" w:ascii="宋体" w:hAnsi="宋体" w:cs="宋体"/>
          <w:color w:val="auto"/>
          <w:szCs w:val="21"/>
          <w:highlight w:val="none"/>
        </w:rPr>
        <w:t>1.33铁芯接地压紧结构和环路</w:t>
      </w:r>
      <w:r>
        <w:rPr>
          <w:rFonts w:hint="eastAsia" w:ascii="宋体" w:hAnsi="宋体" w:cs="宋体"/>
          <w:color w:val="auto"/>
          <w:szCs w:val="21"/>
          <w:highlight w:val="none"/>
        </w:rPr>
        <w:tab/>
      </w:r>
      <w:r>
        <w:rPr>
          <w:rFonts w:hint="eastAsia" w:ascii="宋体" w:hAnsi="宋体" w:cs="宋体"/>
          <w:color w:val="auto"/>
          <w:szCs w:val="21"/>
          <w:highlight w:val="none"/>
        </w:rPr>
        <w:t>2</w:t>
      </w:r>
      <w:r>
        <w:rPr>
          <w:rFonts w:hint="eastAsia" w:ascii="宋体" w:hAnsi="宋体" w:cs="宋体"/>
          <w:color w:val="auto"/>
          <w:szCs w:val="21"/>
          <w:highlight w:val="none"/>
        </w:rPr>
        <w:fldChar w:fldCharType="end"/>
      </w:r>
      <w:r>
        <w:rPr>
          <w:rFonts w:hint="eastAsia" w:ascii="宋体" w:hAnsi="宋体" w:cs="宋体"/>
          <w:color w:val="auto"/>
          <w:szCs w:val="21"/>
          <w:highlight w:val="none"/>
        </w:rPr>
        <w:t>0</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"_Toc21695" </w:instrText>
      </w:r>
      <w:r>
        <w:rPr>
          <w:color w:val="auto"/>
          <w:highlight w:val="none"/>
        </w:rPr>
        <w:fldChar w:fldCharType="separate"/>
      </w:r>
      <w:r>
        <w:rPr>
          <w:rFonts w:hint="eastAsia" w:ascii="宋体" w:hAnsi="宋体" w:cs="宋体"/>
          <w:color w:val="auto"/>
          <w:szCs w:val="21"/>
          <w:highlight w:val="none"/>
        </w:rPr>
        <w:t>1.34型式及出厂（例行）试验</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1</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"_Toc1370" </w:instrText>
      </w:r>
      <w:r>
        <w:rPr>
          <w:color w:val="auto"/>
          <w:highlight w:val="none"/>
        </w:rPr>
        <w:fldChar w:fldCharType="separate"/>
      </w:r>
      <w:r>
        <w:rPr>
          <w:rFonts w:hint="eastAsia" w:ascii="宋体" w:hAnsi="宋体" w:cs="宋体"/>
          <w:color w:val="auto"/>
          <w:szCs w:val="21"/>
          <w:highlight w:val="none"/>
        </w:rPr>
        <w:t>1.35电源</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1</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"_Toc4817" </w:instrText>
      </w:r>
      <w:r>
        <w:rPr>
          <w:color w:val="auto"/>
          <w:highlight w:val="none"/>
        </w:rPr>
        <w:fldChar w:fldCharType="separate"/>
      </w:r>
      <w:r>
        <w:rPr>
          <w:rFonts w:hint="eastAsia" w:ascii="宋体" w:hAnsi="宋体" w:cs="宋体"/>
          <w:color w:val="auto"/>
          <w:szCs w:val="21"/>
          <w:highlight w:val="none"/>
        </w:rPr>
        <w:t>1.36现场试验</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2</w:t>
      </w:r>
    </w:p>
    <w:p>
      <w:pPr>
        <w:pStyle w:val="11"/>
        <w:tabs>
          <w:tab w:val="right" w:leader="dot" w:pos="8827"/>
        </w:tabs>
        <w:rPr>
          <w:rFonts w:hint="eastAsia" w:ascii="宋体" w:hAnsi="宋体" w:cs="宋体"/>
          <w:snapToGrid w:val="0"/>
          <w:color w:val="auto"/>
          <w:spacing w:val="1"/>
          <w:w w:val="99"/>
          <w:kern w:val="0"/>
          <w:szCs w:val="21"/>
          <w:highlight w:val="none"/>
        </w:rPr>
      </w:pPr>
      <w:r>
        <w:rPr>
          <w:color w:val="auto"/>
          <w:highlight w:val="none"/>
        </w:rPr>
        <w:fldChar w:fldCharType="begin"/>
      </w:r>
      <w:r>
        <w:rPr>
          <w:color w:val="auto"/>
          <w:highlight w:val="none"/>
        </w:rPr>
        <w:instrText xml:space="preserve"> HYPERLINK \l "_Toc15427" </w:instrText>
      </w:r>
      <w:r>
        <w:rPr>
          <w:color w:val="auto"/>
          <w:highlight w:val="none"/>
        </w:rPr>
        <w:fldChar w:fldCharType="separate"/>
      </w:r>
      <w:r>
        <w:rPr>
          <w:rFonts w:hint="eastAsia" w:ascii="宋体" w:hAnsi="宋体" w:cs="宋体"/>
          <w:b/>
          <w:bCs/>
          <w:snapToGrid w:val="0"/>
          <w:color w:val="auto"/>
          <w:spacing w:val="1"/>
          <w:w w:val="99"/>
          <w:kern w:val="0"/>
          <w:szCs w:val="21"/>
          <w:highlight w:val="none"/>
        </w:rPr>
        <w:t>三、</w:t>
      </w:r>
      <w:r>
        <w:rPr>
          <w:rFonts w:hint="eastAsia" w:ascii="宋体" w:hAnsi="宋体" w:cs="宋体"/>
          <w:b/>
          <w:bCs/>
          <w:snapToGrid w:val="0"/>
          <w:color w:val="auto"/>
          <w:spacing w:val="1"/>
          <w:w w:val="99"/>
          <w:kern w:val="0"/>
          <w:szCs w:val="21"/>
          <w:highlight w:val="none"/>
          <w:lang w:val="zh-CN"/>
        </w:rPr>
        <w:t>10kV变电站继电保护技术规范书</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3</w:t>
      </w:r>
    </w:p>
    <w:p>
      <w:pPr>
        <w:pStyle w:val="11"/>
        <w:tabs>
          <w:tab w:val="right" w:leader="dot" w:pos="8827"/>
        </w:tabs>
        <w:ind w:firstLine="420" w:firstLineChars="200"/>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"_Toc31575" </w:instrText>
      </w:r>
      <w:r>
        <w:rPr>
          <w:color w:val="auto"/>
          <w:highlight w:val="none"/>
        </w:rPr>
        <w:fldChar w:fldCharType="separate"/>
      </w:r>
      <w:r>
        <w:rPr>
          <w:rFonts w:hint="eastAsia" w:ascii="宋体" w:hAnsi="宋体" w:cs="宋体"/>
          <w:color w:val="auto"/>
          <w:szCs w:val="21"/>
          <w:highlight w:val="none"/>
        </w:rPr>
        <w:t>1.1总则</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3</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"_Toc14606" </w:instrText>
      </w:r>
      <w:r>
        <w:rPr>
          <w:color w:val="auto"/>
          <w:highlight w:val="none"/>
        </w:rPr>
        <w:fldChar w:fldCharType="separate"/>
      </w:r>
      <w:r>
        <w:rPr>
          <w:rFonts w:hint="eastAsia" w:ascii="宋体" w:hAnsi="宋体" w:cs="宋体"/>
          <w:color w:val="auto"/>
          <w:highlight w:val="none"/>
        </w:rPr>
        <w:t>1.2主要技术指标</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6</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"_Toc18303" </w:instrText>
      </w:r>
      <w:r>
        <w:rPr>
          <w:color w:val="auto"/>
          <w:highlight w:val="none"/>
        </w:rPr>
        <w:fldChar w:fldCharType="separate"/>
      </w:r>
      <w:r>
        <w:rPr>
          <w:rFonts w:hint="eastAsia" w:ascii="宋体" w:hAnsi="宋体" w:cs="宋体"/>
          <w:color w:val="auto"/>
          <w:highlight w:val="none"/>
        </w:rPr>
        <w:t>1.3主要技术指标</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6</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"_Toc23580" </w:instrText>
      </w:r>
      <w:r>
        <w:rPr>
          <w:color w:val="auto"/>
          <w:highlight w:val="none"/>
        </w:rPr>
        <w:fldChar w:fldCharType="separate"/>
      </w:r>
      <w:r>
        <w:rPr>
          <w:rFonts w:hint="eastAsia" w:ascii="宋体" w:hAnsi="宋体" w:cs="宋体"/>
          <w:color w:val="auto"/>
          <w:highlight w:val="none"/>
        </w:rPr>
        <w:t>1.4具体技术要求</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6</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"_Toc23145" </w:instrText>
      </w:r>
      <w:r>
        <w:rPr>
          <w:color w:val="auto"/>
          <w:highlight w:val="none"/>
        </w:rPr>
        <w:fldChar w:fldCharType="separate"/>
      </w:r>
      <w:r>
        <w:rPr>
          <w:rFonts w:hint="eastAsia" w:ascii="宋体" w:hAnsi="宋体" w:cs="宋体"/>
          <w:color w:val="auto"/>
          <w:highlight w:val="none"/>
        </w:rPr>
        <w:t>1.5资料交付</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7</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"_Toc30530" </w:instrText>
      </w:r>
      <w:r>
        <w:rPr>
          <w:color w:val="auto"/>
          <w:highlight w:val="none"/>
        </w:rPr>
        <w:fldChar w:fldCharType="separate"/>
      </w:r>
      <w:r>
        <w:rPr>
          <w:rFonts w:hint="eastAsia" w:ascii="宋体" w:hAnsi="宋体" w:cs="宋体"/>
          <w:color w:val="auto"/>
          <w:highlight w:val="none"/>
        </w:rPr>
        <w:t>1.6功能指标、保证值和考核方法</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8</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"_Toc13545" </w:instrText>
      </w:r>
      <w:r>
        <w:rPr>
          <w:color w:val="auto"/>
          <w:highlight w:val="none"/>
        </w:rPr>
        <w:fldChar w:fldCharType="separate"/>
      </w:r>
      <w:r>
        <w:rPr>
          <w:rFonts w:hint="eastAsia" w:ascii="宋体" w:hAnsi="宋体" w:cs="宋体"/>
          <w:color w:val="auto"/>
          <w:highlight w:val="none"/>
        </w:rPr>
        <w:t>1.7其它</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8</w:t>
      </w:r>
    </w:p>
    <w:p>
      <w:pPr>
        <w:pStyle w:val="11"/>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"_Toc27924" </w:instrText>
      </w:r>
      <w:r>
        <w:rPr>
          <w:color w:val="auto"/>
          <w:highlight w:val="none"/>
        </w:rPr>
        <w:fldChar w:fldCharType="separate"/>
      </w:r>
      <w:r>
        <w:rPr>
          <w:rFonts w:hint="eastAsia" w:ascii="宋体" w:hAnsi="宋体" w:cs="宋体"/>
          <w:b/>
          <w:bCs/>
          <w:snapToGrid w:val="0"/>
          <w:color w:val="auto"/>
          <w:spacing w:val="1"/>
          <w:w w:val="99"/>
          <w:kern w:val="0"/>
          <w:szCs w:val="21"/>
          <w:highlight w:val="none"/>
        </w:rPr>
        <w:t>四、10kV变电站监控系统技术规范书</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9</w:t>
      </w:r>
    </w:p>
    <w:p>
      <w:pPr>
        <w:pStyle w:val="11"/>
        <w:tabs>
          <w:tab w:val="right" w:leader="dot" w:pos="8827"/>
        </w:tabs>
        <w:ind w:firstLine="420" w:firstLineChars="200"/>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"_Toc10273" </w:instrText>
      </w:r>
      <w:r>
        <w:rPr>
          <w:color w:val="auto"/>
          <w:highlight w:val="none"/>
        </w:rPr>
        <w:fldChar w:fldCharType="separate"/>
      </w:r>
      <w:r>
        <w:rPr>
          <w:rFonts w:hint="eastAsia" w:ascii="宋体" w:hAnsi="宋体" w:cs="宋体"/>
          <w:color w:val="auto"/>
          <w:szCs w:val="21"/>
          <w:highlight w:val="none"/>
        </w:rPr>
        <w:t>1.1总则</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9</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"_Toc26497" </w:instrText>
      </w:r>
      <w:r>
        <w:rPr>
          <w:color w:val="auto"/>
          <w:highlight w:val="none"/>
        </w:rPr>
        <w:fldChar w:fldCharType="separate"/>
      </w:r>
      <w:r>
        <w:rPr>
          <w:rFonts w:hint="eastAsia" w:ascii="宋体" w:hAnsi="宋体" w:cs="宋体"/>
          <w:color w:val="auto"/>
          <w:highlight w:val="none"/>
        </w:rPr>
        <w:t>1.2主要技术指标</w:t>
      </w:r>
      <w:r>
        <w:rPr>
          <w:rFonts w:hint="eastAsia" w:ascii="宋体" w:hAnsi="宋体" w:cs="宋体"/>
          <w:color w:val="auto"/>
          <w:highlight w:val="none"/>
        </w:rPr>
        <w:tab/>
      </w:r>
      <w:r>
        <w:rPr>
          <w:rFonts w:hint="eastAsia" w:ascii="宋体" w:hAnsi="宋体" w:cs="宋体"/>
          <w:color w:val="auto"/>
          <w:highlight w:val="none"/>
        </w:rPr>
        <w:t>2</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9</w:t>
      </w:r>
    </w:p>
    <w:p>
      <w:pPr>
        <w:pStyle w:val="12"/>
        <w:tabs>
          <w:tab w:val="right" w:leader="dot" w:pos="8827"/>
        </w:tabs>
        <w:rPr>
          <w:rFonts w:hint="eastAsia"/>
          <w:color w:val="auto"/>
          <w:highlight w:val="none"/>
        </w:rPr>
      </w:pPr>
      <w:r>
        <w:rPr>
          <w:color w:val="auto"/>
          <w:highlight w:val="none"/>
        </w:rPr>
        <w:fldChar w:fldCharType="begin"/>
      </w:r>
      <w:r>
        <w:rPr>
          <w:color w:val="auto"/>
          <w:highlight w:val="none"/>
        </w:rPr>
        <w:instrText xml:space="preserve"> HYPERLINK \l "_Toc17973" </w:instrText>
      </w:r>
      <w:r>
        <w:rPr>
          <w:color w:val="auto"/>
          <w:highlight w:val="none"/>
        </w:rPr>
        <w:fldChar w:fldCharType="separate"/>
      </w:r>
      <w:r>
        <w:rPr>
          <w:rFonts w:hint="eastAsia" w:ascii="宋体" w:hAnsi="宋体" w:cs="宋体"/>
          <w:color w:val="auto"/>
          <w:highlight w:val="none"/>
        </w:rPr>
        <w:t>1.3试验</w:t>
      </w:r>
      <w:r>
        <w:rPr>
          <w:color w:val="auto"/>
          <w:highlight w:val="none"/>
        </w:rPr>
        <w:tab/>
      </w:r>
      <w:r>
        <w:rPr>
          <w:rFonts w:hint="eastAsia" w:ascii="宋体" w:hAnsi="宋体" w:cs="宋体"/>
          <w:color w:val="auto"/>
          <w:highlight w:val="none"/>
        </w:rPr>
        <w:t>3</w:t>
      </w:r>
      <w:r>
        <w:rPr>
          <w:rFonts w:hint="eastAsia" w:ascii="宋体" w:hAnsi="宋体" w:cs="宋体"/>
          <w:color w:val="auto"/>
          <w:highlight w:val="none"/>
        </w:rPr>
        <w:fldChar w:fldCharType="end"/>
      </w:r>
      <w:r>
        <w:rPr>
          <w:rFonts w:hint="eastAsia" w:ascii="宋体" w:hAnsi="宋体" w:cs="宋体"/>
          <w:snapToGrid w:val="0"/>
          <w:color w:val="auto"/>
          <w:spacing w:val="1"/>
          <w:w w:val="99"/>
          <w:kern w:val="0"/>
          <w:szCs w:val="21"/>
          <w:highlight w:val="none"/>
        </w:rPr>
        <w:t>9</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"_Toc18505" </w:instrText>
      </w:r>
      <w:r>
        <w:rPr>
          <w:color w:val="auto"/>
          <w:highlight w:val="none"/>
        </w:rPr>
        <w:fldChar w:fldCharType="separate"/>
      </w:r>
      <w:r>
        <w:rPr>
          <w:rFonts w:hint="eastAsia" w:ascii="宋体" w:hAnsi="宋体" w:cs="宋体"/>
          <w:color w:val="auto"/>
          <w:highlight w:val="none"/>
        </w:rPr>
        <w:t>1.4技术服务、设计联络、工厂检验和监造</w:t>
      </w:r>
      <w:r>
        <w:rPr>
          <w:rFonts w:hint="eastAsia" w:ascii="宋体" w:hAnsi="宋体" w:cs="宋体"/>
          <w:color w:val="auto"/>
          <w:highlight w:val="none"/>
        </w:rPr>
        <w:tab/>
      </w:r>
      <w:r>
        <w:rPr>
          <w:rFonts w:hint="eastAsia" w:ascii="宋体" w:hAnsi="宋体" w:cs="宋体"/>
          <w:color w:val="auto"/>
          <w:highlight w:val="none"/>
        </w:rPr>
        <w:t>4</w:t>
      </w:r>
      <w:r>
        <w:rPr>
          <w:rFonts w:hint="eastAsia" w:ascii="宋体" w:hAnsi="宋体" w:cs="宋体"/>
          <w:color w:val="auto"/>
          <w:highlight w:val="none"/>
        </w:rPr>
        <w:fldChar w:fldCharType="end"/>
      </w:r>
      <w:r>
        <w:rPr>
          <w:rFonts w:hint="eastAsia" w:ascii="宋体" w:hAnsi="宋体" w:cs="宋体"/>
          <w:color w:val="auto"/>
          <w:highlight w:val="none"/>
        </w:rPr>
        <w:t>1</w:t>
      </w:r>
    </w:p>
    <w:p>
      <w:pPr>
        <w:pStyle w:val="12"/>
        <w:tabs>
          <w:tab w:val="right" w:leader="dot" w:pos="8827"/>
        </w:tabs>
        <w:ind w:left="0" w:leftChars="0"/>
        <w:rPr>
          <w:rFonts w:hint="eastAsia"/>
          <w:color w:val="auto"/>
          <w:highlight w:val="none"/>
        </w:rPr>
      </w:pPr>
      <w:r>
        <w:rPr>
          <w:color w:val="auto"/>
          <w:highlight w:val="none"/>
        </w:rPr>
        <w:fldChar w:fldCharType="begin"/>
      </w:r>
      <w:r>
        <w:rPr>
          <w:color w:val="auto"/>
          <w:highlight w:val="none"/>
        </w:rPr>
        <w:instrText xml:space="preserve"> HYPERLINK \l "_Toc18798" </w:instrText>
      </w:r>
      <w:r>
        <w:rPr>
          <w:color w:val="auto"/>
          <w:highlight w:val="none"/>
        </w:rPr>
        <w:fldChar w:fldCharType="separate"/>
      </w:r>
      <w:r>
        <w:rPr>
          <w:rFonts w:hint="eastAsia" w:ascii="宋体" w:hAnsi="宋体" w:cs="宋体"/>
          <w:b/>
          <w:bCs/>
          <w:color w:val="auto"/>
          <w:highlight w:val="none"/>
        </w:rPr>
        <w:t>五、10KV开关柜技术规范书</w:t>
      </w:r>
      <w:r>
        <w:rPr>
          <w:rFonts w:hint="eastAsia" w:ascii="宋体" w:hAnsi="宋体" w:cs="宋体"/>
          <w:color w:val="auto"/>
          <w:highlight w:val="none"/>
        </w:rPr>
        <w:tab/>
      </w:r>
      <w:r>
        <w:rPr>
          <w:rFonts w:hint="eastAsia" w:ascii="宋体" w:hAnsi="宋体" w:cs="宋体"/>
          <w:color w:val="auto"/>
          <w:highlight w:val="none"/>
        </w:rPr>
        <w:t>4</w:t>
      </w:r>
      <w:r>
        <w:rPr>
          <w:rFonts w:hint="eastAsia" w:ascii="宋体" w:hAnsi="宋体" w:cs="宋体"/>
          <w:color w:val="auto"/>
          <w:highlight w:val="none"/>
        </w:rPr>
        <w:fldChar w:fldCharType="end"/>
      </w:r>
      <w:r>
        <w:rPr>
          <w:rFonts w:hint="eastAsia" w:ascii="宋体" w:hAnsi="宋体" w:cs="宋体"/>
          <w:color w:val="auto"/>
          <w:highlight w:val="none"/>
        </w:rPr>
        <w:t>4</w:t>
      </w:r>
    </w:p>
    <w:p>
      <w:pPr>
        <w:pStyle w:val="12"/>
        <w:tabs>
          <w:tab w:val="right" w:leader="dot" w:pos="8827"/>
        </w:tabs>
        <w:rPr>
          <w:rFonts w:hint="eastAsia" w:ascii="宋体" w:hAnsi="宋体" w:cs="宋体"/>
          <w:color w:val="auto"/>
          <w:szCs w:val="21"/>
          <w:highlight w:val="none"/>
        </w:rPr>
      </w:pPr>
      <w:r>
        <w:rPr>
          <w:color w:val="auto"/>
          <w:highlight w:val="none"/>
        </w:rPr>
        <w:fldChar w:fldCharType="begin"/>
      </w:r>
      <w:r>
        <w:rPr>
          <w:color w:val="auto"/>
          <w:highlight w:val="none"/>
        </w:rPr>
        <w:instrText xml:space="preserve"> HYPERLINK \l "_Toc18957" </w:instrText>
      </w:r>
      <w:r>
        <w:rPr>
          <w:color w:val="auto"/>
          <w:highlight w:val="none"/>
        </w:rPr>
        <w:fldChar w:fldCharType="separate"/>
      </w:r>
      <w:r>
        <w:rPr>
          <w:rFonts w:hint="eastAsia" w:ascii="宋体" w:hAnsi="宋体" w:cs="宋体"/>
          <w:color w:val="auto"/>
          <w:szCs w:val="21"/>
          <w:highlight w:val="none"/>
        </w:rPr>
        <w:t xml:space="preserve">1.1  </w:t>
      </w:r>
      <w:r>
        <w:rPr>
          <w:rFonts w:hint="eastAsia" w:ascii="宋体" w:hAnsi="宋体" w:cs="宋体"/>
          <w:color w:val="auto"/>
          <w:highlight w:val="none"/>
        </w:rPr>
        <w:t>设备名称及参考标准</w:t>
      </w:r>
      <w:r>
        <w:rPr>
          <w:rFonts w:hint="eastAsia" w:ascii="宋体" w:hAnsi="宋体" w:cs="宋体"/>
          <w:color w:val="auto"/>
          <w:szCs w:val="21"/>
          <w:highlight w:val="none"/>
        </w:rPr>
        <w:tab/>
      </w:r>
      <w:r>
        <w:rPr>
          <w:rFonts w:hint="eastAsia" w:ascii="宋体" w:hAnsi="宋体" w:cs="宋体"/>
          <w:color w:val="auto"/>
          <w:szCs w:val="21"/>
          <w:highlight w:val="none"/>
        </w:rPr>
        <w:t>4</w:t>
      </w:r>
      <w:r>
        <w:rPr>
          <w:rFonts w:hint="eastAsia" w:ascii="宋体" w:hAnsi="宋体" w:cs="宋体"/>
          <w:color w:val="auto"/>
          <w:szCs w:val="21"/>
          <w:highlight w:val="none"/>
        </w:rPr>
        <w:fldChar w:fldCharType="end"/>
      </w:r>
      <w:r>
        <w:rPr>
          <w:rFonts w:hint="eastAsia" w:ascii="宋体" w:hAnsi="宋体" w:cs="宋体"/>
          <w:color w:val="auto"/>
          <w:szCs w:val="21"/>
          <w:highlight w:val="none"/>
        </w:rPr>
        <w:t>4</w:t>
      </w:r>
    </w:p>
    <w:p>
      <w:pPr>
        <w:pStyle w:val="12"/>
        <w:tabs>
          <w:tab w:val="right" w:leader="dot" w:pos="8827"/>
        </w:tabs>
        <w:rPr>
          <w:rFonts w:hint="eastAsia" w:ascii="宋体" w:hAnsi="宋体" w:cs="宋体"/>
          <w:color w:val="auto"/>
          <w:szCs w:val="21"/>
          <w:highlight w:val="none"/>
        </w:rPr>
      </w:pPr>
      <w:r>
        <w:rPr>
          <w:color w:val="auto"/>
          <w:highlight w:val="none"/>
        </w:rPr>
        <w:fldChar w:fldCharType="begin"/>
      </w:r>
      <w:r>
        <w:rPr>
          <w:color w:val="auto"/>
          <w:highlight w:val="none"/>
        </w:rPr>
        <w:instrText xml:space="preserve"> HYPERLINK \l "_Toc18957" </w:instrText>
      </w:r>
      <w:r>
        <w:rPr>
          <w:color w:val="auto"/>
          <w:highlight w:val="none"/>
        </w:rPr>
        <w:fldChar w:fldCharType="separate"/>
      </w:r>
      <w:r>
        <w:rPr>
          <w:rFonts w:hint="eastAsia" w:ascii="宋体" w:hAnsi="宋体" w:cs="宋体"/>
          <w:color w:val="auto"/>
          <w:szCs w:val="21"/>
          <w:highlight w:val="none"/>
        </w:rPr>
        <w:t xml:space="preserve">1.2  </w:t>
      </w:r>
      <w:r>
        <w:rPr>
          <w:rFonts w:hint="eastAsia" w:ascii="宋体" w:hAnsi="宋体" w:cs="宋体"/>
          <w:color w:val="auto"/>
          <w:highlight w:val="none"/>
        </w:rPr>
        <w:t>规格型号</w:t>
      </w:r>
      <w:r>
        <w:rPr>
          <w:rFonts w:hint="eastAsia" w:ascii="宋体" w:hAnsi="宋体" w:cs="宋体"/>
          <w:color w:val="auto"/>
          <w:szCs w:val="21"/>
          <w:highlight w:val="none"/>
        </w:rPr>
        <w:tab/>
      </w:r>
      <w:r>
        <w:rPr>
          <w:rFonts w:hint="eastAsia" w:ascii="宋体" w:hAnsi="宋体" w:cs="宋体"/>
          <w:color w:val="auto"/>
          <w:szCs w:val="21"/>
          <w:highlight w:val="none"/>
        </w:rPr>
        <w:t>4</w:t>
      </w:r>
      <w:r>
        <w:rPr>
          <w:rFonts w:hint="eastAsia" w:ascii="宋体" w:hAnsi="宋体" w:cs="宋体"/>
          <w:color w:val="auto"/>
          <w:szCs w:val="21"/>
          <w:highlight w:val="none"/>
        </w:rPr>
        <w:fldChar w:fldCharType="end"/>
      </w:r>
      <w:r>
        <w:rPr>
          <w:rFonts w:hint="eastAsia" w:ascii="宋体" w:hAnsi="宋体" w:cs="宋体"/>
          <w:color w:val="auto"/>
          <w:szCs w:val="21"/>
          <w:highlight w:val="none"/>
        </w:rPr>
        <w:t>4</w:t>
      </w:r>
    </w:p>
    <w:p>
      <w:pPr>
        <w:pStyle w:val="12"/>
        <w:tabs>
          <w:tab w:val="right" w:leader="dot" w:pos="8827"/>
        </w:tabs>
        <w:rPr>
          <w:rFonts w:hint="eastAsia"/>
          <w:color w:val="auto"/>
          <w:highlight w:val="none"/>
        </w:rPr>
      </w:pPr>
      <w:r>
        <w:rPr>
          <w:color w:val="auto"/>
          <w:highlight w:val="none"/>
        </w:rPr>
        <w:fldChar w:fldCharType="begin"/>
      </w:r>
      <w:r>
        <w:rPr>
          <w:color w:val="auto"/>
          <w:highlight w:val="none"/>
        </w:rPr>
        <w:instrText xml:space="preserve"> HYPERLINK \l "_Toc11641" </w:instrText>
      </w:r>
      <w:r>
        <w:rPr>
          <w:color w:val="auto"/>
          <w:highlight w:val="none"/>
        </w:rPr>
        <w:fldChar w:fldCharType="separate"/>
      </w:r>
      <w:r>
        <w:rPr>
          <w:rFonts w:hint="eastAsia" w:ascii="宋体" w:hAnsi="宋体" w:cs="宋体"/>
          <w:color w:val="auto"/>
          <w:highlight w:val="none"/>
        </w:rPr>
        <w:t>1.3  主要技术参数</w:t>
      </w:r>
      <w:r>
        <w:rPr>
          <w:rFonts w:hint="eastAsia" w:ascii="宋体" w:hAnsi="宋体" w:cs="宋体"/>
          <w:color w:val="auto"/>
          <w:highlight w:val="none"/>
        </w:rPr>
        <w:tab/>
      </w:r>
      <w:r>
        <w:rPr>
          <w:rFonts w:hint="eastAsia" w:ascii="宋体" w:hAnsi="宋体" w:cs="宋体"/>
          <w:color w:val="auto"/>
          <w:highlight w:val="none"/>
        </w:rPr>
        <w:t>4</w:t>
      </w:r>
      <w:r>
        <w:rPr>
          <w:rFonts w:hint="eastAsia" w:ascii="宋体" w:hAnsi="宋体" w:cs="宋体"/>
          <w:color w:val="auto"/>
          <w:highlight w:val="none"/>
        </w:rPr>
        <w:fldChar w:fldCharType="end"/>
      </w:r>
      <w:r>
        <w:rPr>
          <w:rFonts w:hint="eastAsia" w:ascii="宋体" w:hAnsi="宋体" w:cs="宋体"/>
          <w:color w:val="auto"/>
          <w:highlight w:val="none"/>
        </w:rPr>
        <w:t>4</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"_Toc16144" </w:instrText>
      </w:r>
      <w:r>
        <w:rPr>
          <w:color w:val="auto"/>
          <w:highlight w:val="none"/>
        </w:rPr>
        <w:fldChar w:fldCharType="separate"/>
      </w:r>
      <w:r>
        <w:rPr>
          <w:rFonts w:hint="eastAsia" w:ascii="宋体" w:hAnsi="宋体" w:cs="宋体"/>
          <w:color w:val="auto"/>
          <w:highlight w:val="none"/>
        </w:rPr>
        <w:t>1.4  金属封闭铠装中置式手车开关柜柜体结构型式与功能</w:t>
      </w:r>
      <w:r>
        <w:rPr>
          <w:rFonts w:hint="eastAsia" w:ascii="宋体" w:hAnsi="宋体" w:cs="宋体"/>
          <w:color w:val="auto"/>
          <w:highlight w:val="none"/>
        </w:rPr>
        <w:tab/>
      </w:r>
      <w:r>
        <w:rPr>
          <w:rFonts w:hint="eastAsia" w:ascii="宋体" w:hAnsi="宋体" w:cs="宋体"/>
          <w:color w:val="auto"/>
          <w:highlight w:val="none"/>
        </w:rPr>
        <w:t>4</w:t>
      </w:r>
      <w:r>
        <w:rPr>
          <w:rFonts w:hint="eastAsia" w:ascii="宋体" w:hAnsi="宋体" w:cs="宋体"/>
          <w:color w:val="auto"/>
          <w:highlight w:val="none"/>
        </w:rPr>
        <w:fldChar w:fldCharType="end"/>
      </w:r>
      <w:r>
        <w:rPr>
          <w:rFonts w:hint="eastAsia" w:ascii="宋体" w:hAnsi="宋体" w:cs="宋体"/>
          <w:color w:val="auto"/>
          <w:highlight w:val="none"/>
        </w:rPr>
        <w:t>5</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"_Toc21419" </w:instrText>
      </w:r>
      <w:r>
        <w:rPr>
          <w:color w:val="auto"/>
          <w:highlight w:val="none"/>
        </w:rPr>
        <w:fldChar w:fldCharType="separate"/>
      </w:r>
      <w:r>
        <w:rPr>
          <w:rFonts w:hint="eastAsia" w:ascii="宋体" w:hAnsi="宋体" w:cs="宋体"/>
          <w:color w:val="auto"/>
          <w:highlight w:val="none"/>
        </w:rPr>
        <w:t>1.5  柜内的主要元器件、零部件</w:t>
      </w:r>
      <w:r>
        <w:rPr>
          <w:rFonts w:hint="eastAsia" w:ascii="宋体" w:hAnsi="宋体" w:cs="宋体"/>
          <w:color w:val="auto"/>
          <w:highlight w:val="none"/>
        </w:rPr>
        <w:tab/>
      </w:r>
      <w:r>
        <w:rPr>
          <w:rFonts w:hint="eastAsia" w:ascii="宋体" w:hAnsi="宋体" w:cs="宋体"/>
          <w:color w:val="auto"/>
          <w:highlight w:val="none"/>
        </w:rPr>
        <w:t>4</w:t>
      </w:r>
      <w:r>
        <w:rPr>
          <w:rFonts w:hint="eastAsia" w:ascii="宋体" w:hAnsi="宋体" w:cs="宋体"/>
          <w:color w:val="auto"/>
          <w:highlight w:val="none"/>
        </w:rPr>
        <w:fldChar w:fldCharType="end"/>
      </w:r>
      <w:r>
        <w:rPr>
          <w:rFonts w:hint="eastAsia" w:ascii="宋体" w:hAnsi="宋体" w:cs="宋体"/>
          <w:color w:val="auto"/>
          <w:highlight w:val="none"/>
        </w:rPr>
        <w:t>7</w:t>
      </w:r>
    </w:p>
    <w:p>
      <w:pPr>
        <w:pStyle w:val="12"/>
        <w:tabs>
          <w:tab w:val="right" w:leader="dot" w:pos="8827"/>
        </w:tabs>
        <w:rPr>
          <w:rFonts w:hint="eastAsia" w:ascii="宋体" w:hAnsi="宋体" w:cs="宋体"/>
          <w:color w:val="auto"/>
          <w:szCs w:val="21"/>
          <w:highlight w:val="none"/>
        </w:rPr>
      </w:pPr>
      <w:r>
        <w:rPr>
          <w:color w:val="auto"/>
          <w:highlight w:val="none"/>
        </w:rPr>
        <w:fldChar w:fldCharType="begin"/>
      </w:r>
      <w:r>
        <w:rPr>
          <w:color w:val="auto"/>
          <w:highlight w:val="none"/>
        </w:rPr>
        <w:instrText xml:space="preserve"> HYPERLINK \l "_Toc18957" </w:instrText>
      </w:r>
      <w:r>
        <w:rPr>
          <w:color w:val="auto"/>
          <w:highlight w:val="none"/>
        </w:rPr>
        <w:fldChar w:fldCharType="separate"/>
      </w:r>
      <w:r>
        <w:rPr>
          <w:rFonts w:hint="eastAsia" w:ascii="宋体" w:hAnsi="宋体" w:cs="宋体"/>
          <w:color w:val="auto"/>
          <w:szCs w:val="21"/>
          <w:highlight w:val="none"/>
        </w:rPr>
        <w:t xml:space="preserve">1.6  </w:t>
      </w:r>
      <w:r>
        <w:rPr>
          <w:rFonts w:hint="eastAsia" w:ascii="宋体" w:hAnsi="宋体" w:cs="宋体"/>
          <w:color w:val="auto"/>
          <w:highlight w:val="none"/>
        </w:rPr>
        <w:t>断路器</w:t>
      </w:r>
      <w:r>
        <w:rPr>
          <w:rFonts w:hint="eastAsia" w:ascii="宋体" w:hAnsi="宋体" w:cs="宋体"/>
          <w:color w:val="auto"/>
          <w:szCs w:val="21"/>
          <w:highlight w:val="none"/>
        </w:rPr>
        <w:tab/>
      </w:r>
      <w:r>
        <w:rPr>
          <w:rFonts w:hint="eastAsia" w:ascii="宋体" w:hAnsi="宋体" w:cs="宋体"/>
          <w:color w:val="auto"/>
          <w:highlight w:val="none"/>
        </w:rPr>
        <w:t>4</w:t>
      </w:r>
      <w:r>
        <w:rPr>
          <w:rFonts w:hint="eastAsia" w:ascii="宋体" w:hAnsi="宋体" w:cs="宋体"/>
          <w:color w:val="auto"/>
          <w:highlight w:val="none"/>
        </w:rPr>
        <w:fldChar w:fldCharType="end"/>
      </w:r>
      <w:r>
        <w:rPr>
          <w:rFonts w:hint="eastAsia" w:ascii="宋体" w:hAnsi="宋体" w:cs="宋体"/>
          <w:color w:val="auto"/>
          <w:szCs w:val="21"/>
          <w:highlight w:val="none"/>
        </w:rPr>
        <w:t>9</w:t>
      </w:r>
    </w:p>
    <w:p>
      <w:pPr>
        <w:pStyle w:val="12"/>
        <w:tabs>
          <w:tab w:val="right" w:leader="dot" w:pos="8827"/>
        </w:tabs>
        <w:rPr>
          <w:rFonts w:hint="eastAsia" w:ascii="宋体" w:hAnsi="宋体" w:cs="宋体"/>
          <w:color w:val="auto"/>
          <w:szCs w:val="21"/>
          <w:highlight w:val="none"/>
        </w:rPr>
      </w:pPr>
      <w:r>
        <w:rPr>
          <w:color w:val="auto"/>
          <w:highlight w:val="none"/>
        </w:rPr>
        <w:fldChar w:fldCharType="begin"/>
      </w:r>
      <w:r>
        <w:rPr>
          <w:color w:val="auto"/>
          <w:highlight w:val="none"/>
        </w:rPr>
        <w:instrText xml:space="preserve"> HYPERLINK \l "_Toc18957" </w:instrText>
      </w:r>
      <w:r>
        <w:rPr>
          <w:color w:val="auto"/>
          <w:highlight w:val="none"/>
        </w:rPr>
        <w:fldChar w:fldCharType="separate"/>
      </w:r>
      <w:r>
        <w:rPr>
          <w:rFonts w:hint="eastAsia" w:ascii="宋体" w:hAnsi="宋体" w:cs="宋体"/>
          <w:color w:val="auto"/>
          <w:szCs w:val="21"/>
          <w:highlight w:val="none"/>
        </w:rPr>
        <w:t xml:space="preserve">1.7  </w:t>
      </w:r>
      <w:r>
        <w:rPr>
          <w:rFonts w:hint="eastAsia" w:ascii="宋体" w:hAnsi="宋体" w:cs="宋体"/>
          <w:color w:val="auto"/>
          <w:highlight w:val="none"/>
        </w:rPr>
        <w:t>断路器操作机构</w:t>
      </w:r>
      <w:r>
        <w:rPr>
          <w:rFonts w:hint="eastAsia" w:ascii="宋体" w:hAnsi="宋体" w:cs="宋体"/>
          <w:color w:val="auto"/>
          <w:szCs w:val="21"/>
          <w:highlight w:val="none"/>
        </w:rPr>
        <w:tab/>
      </w:r>
      <w:r>
        <w:rPr>
          <w:rFonts w:hint="eastAsia" w:ascii="宋体" w:hAnsi="宋体" w:cs="宋体"/>
          <w:color w:val="auto"/>
          <w:szCs w:val="21"/>
          <w:highlight w:val="none"/>
        </w:rPr>
        <w:t>5</w:t>
      </w:r>
      <w:r>
        <w:rPr>
          <w:rFonts w:hint="eastAsia" w:ascii="宋体" w:hAnsi="宋体" w:cs="宋体"/>
          <w:color w:val="auto"/>
          <w:szCs w:val="21"/>
          <w:highlight w:val="none"/>
        </w:rPr>
        <w:fldChar w:fldCharType="end"/>
      </w:r>
      <w:r>
        <w:rPr>
          <w:rFonts w:hint="eastAsia" w:ascii="宋体" w:hAnsi="宋体" w:cs="宋体"/>
          <w:color w:val="auto"/>
          <w:szCs w:val="21"/>
          <w:highlight w:val="none"/>
        </w:rPr>
        <w:t>0</w:t>
      </w:r>
    </w:p>
    <w:p>
      <w:pPr>
        <w:pStyle w:val="12"/>
        <w:tabs>
          <w:tab w:val="right" w:leader="dot" w:pos="8827"/>
        </w:tabs>
        <w:ind w:left="0" w:leftChars="0"/>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"_Toc742" </w:instrText>
      </w:r>
      <w:r>
        <w:rPr>
          <w:color w:val="auto"/>
          <w:highlight w:val="none"/>
        </w:rPr>
        <w:fldChar w:fldCharType="separate"/>
      </w:r>
      <w:r>
        <w:rPr>
          <w:rFonts w:hint="eastAsia" w:ascii="宋体" w:hAnsi="宋体" w:cs="宋体"/>
          <w:b/>
          <w:bCs/>
          <w:color w:val="auto"/>
          <w:highlight w:val="none"/>
        </w:rPr>
        <w:t>六、</w:t>
      </w:r>
      <w:r>
        <w:rPr>
          <w:rFonts w:ascii="宋体" w:hAnsi="宋体" w:cs="宋体"/>
          <w:b/>
          <w:snapToGrid w:val="0"/>
          <w:color w:val="auto"/>
          <w:spacing w:val="1"/>
          <w:w w:val="99"/>
          <w:kern w:val="0"/>
          <w:szCs w:val="21"/>
          <w:highlight w:val="none"/>
        </w:rPr>
        <w:t>SVG+APF</w:t>
      </w:r>
      <w:r>
        <w:rPr>
          <w:rFonts w:hint="eastAsia" w:ascii="宋体" w:hAnsi="宋体" w:cs="宋体"/>
          <w:b/>
          <w:bCs/>
          <w:color w:val="auto"/>
          <w:highlight w:val="none"/>
        </w:rPr>
        <w:t>有源滤波器技术规范书</w:t>
      </w:r>
      <w:r>
        <w:rPr>
          <w:rFonts w:hint="eastAsia" w:ascii="宋体" w:hAnsi="宋体" w:cs="宋体"/>
          <w:color w:val="auto"/>
          <w:highlight w:val="none"/>
        </w:rPr>
        <w:tab/>
      </w:r>
      <w:r>
        <w:rPr>
          <w:rFonts w:hint="eastAsia" w:ascii="宋体" w:hAnsi="宋体" w:cs="宋体"/>
          <w:color w:val="auto"/>
          <w:highlight w:val="none"/>
        </w:rPr>
        <w:t>5</w:t>
      </w:r>
      <w:r>
        <w:rPr>
          <w:rFonts w:hint="eastAsia" w:ascii="宋体" w:hAnsi="宋体" w:cs="宋体"/>
          <w:color w:val="auto"/>
          <w:highlight w:val="none"/>
        </w:rPr>
        <w:fldChar w:fldCharType="end"/>
      </w:r>
      <w:r>
        <w:rPr>
          <w:rFonts w:hint="eastAsia" w:ascii="宋体" w:hAnsi="宋体" w:cs="宋体"/>
          <w:color w:val="auto"/>
          <w:highlight w:val="none"/>
        </w:rPr>
        <w:t>2</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"_Toc4731" </w:instrText>
      </w:r>
      <w:r>
        <w:rPr>
          <w:color w:val="auto"/>
          <w:highlight w:val="none"/>
        </w:rPr>
        <w:fldChar w:fldCharType="separate"/>
      </w:r>
      <w:r>
        <w:rPr>
          <w:rFonts w:hint="eastAsia" w:ascii="宋体" w:hAnsi="宋体" w:cs="宋体"/>
          <w:color w:val="auto"/>
          <w:highlight w:val="none"/>
        </w:rPr>
        <w:t>1.1运行环境</w:t>
      </w:r>
      <w:r>
        <w:rPr>
          <w:rFonts w:hint="eastAsia" w:ascii="宋体" w:hAnsi="宋体" w:cs="宋体"/>
          <w:color w:val="auto"/>
          <w:highlight w:val="none"/>
        </w:rPr>
        <w:tab/>
      </w:r>
      <w:r>
        <w:rPr>
          <w:rFonts w:hint="eastAsia" w:ascii="宋体" w:hAnsi="宋体" w:cs="宋体"/>
          <w:color w:val="auto"/>
          <w:highlight w:val="none"/>
        </w:rPr>
        <w:t>5</w:t>
      </w:r>
      <w:r>
        <w:rPr>
          <w:rFonts w:hint="eastAsia" w:ascii="宋体" w:hAnsi="宋体" w:cs="宋体"/>
          <w:color w:val="auto"/>
          <w:highlight w:val="none"/>
        </w:rPr>
        <w:fldChar w:fldCharType="end"/>
      </w:r>
      <w:r>
        <w:rPr>
          <w:rFonts w:hint="eastAsia" w:ascii="宋体" w:hAnsi="宋体" w:cs="宋体"/>
          <w:color w:val="auto"/>
          <w:highlight w:val="none"/>
        </w:rPr>
        <w:t>2</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"_Toc7839" </w:instrText>
      </w:r>
      <w:r>
        <w:rPr>
          <w:color w:val="auto"/>
          <w:highlight w:val="none"/>
        </w:rPr>
        <w:fldChar w:fldCharType="separate"/>
      </w:r>
      <w:r>
        <w:rPr>
          <w:rFonts w:hint="eastAsia" w:ascii="宋体" w:hAnsi="宋体" w:cs="宋体"/>
          <w:color w:val="auto"/>
          <w:highlight w:val="none"/>
        </w:rPr>
        <w:t>1.2设备规格</w:t>
      </w:r>
      <w:r>
        <w:rPr>
          <w:rFonts w:hint="eastAsia" w:ascii="宋体" w:hAnsi="宋体" w:cs="宋体"/>
          <w:color w:val="auto"/>
          <w:highlight w:val="none"/>
        </w:rPr>
        <w:tab/>
      </w:r>
      <w:r>
        <w:rPr>
          <w:rFonts w:hint="eastAsia" w:ascii="宋体" w:hAnsi="宋体" w:cs="宋体"/>
          <w:color w:val="auto"/>
          <w:highlight w:val="none"/>
        </w:rPr>
        <w:t>5</w:t>
      </w:r>
      <w:r>
        <w:rPr>
          <w:rFonts w:hint="eastAsia" w:ascii="宋体" w:hAnsi="宋体" w:cs="宋体"/>
          <w:color w:val="auto"/>
          <w:highlight w:val="none"/>
        </w:rPr>
        <w:fldChar w:fldCharType="end"/>
      </w:r>
      <w:r>
        <w:rPr>
          <w:rFonts w:hint="eastAsia" w:ascii="宋体" w:hAnsi="宋体" w:cs="宋体"/>
          <w:color w:val="auto"/>
          <w:highlight w:val="none"/>
        </w:rPr>
        <w:t>2</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"_Toc20863" </w:instrText>
      </w:r>
      <w:r>
        <w:rPr>
          <w:color w:val="auto"/>
          <w:highlight w:val="none"/>
        </w:rPr>
        <w:fldChar w:fldCharType="separate"/>
      </w:r>
      <w:r>
        <w:rPr>
          <w:rFonts w:hint="eastAsia" w:ascii="宋体" w:hAnsi="宋体" w:cs="宋体"/>
          <w:color w:val="auto"/>
          <w:highlight w:val="none"/>
        </w:rPr>
        <w:t>1.3主要技术参数</w:t>
      </w:r>
      <w:r>
        <w:rPr>
          <w:rFonts w:hint="eastAsia" w:ascii="宋体" w:hAnsi="宋体" w:cs="宋体"/>
          <w:color w:val="auto"/>
          <w:highlight w:val="none"/>
        </w:rPr>
        <w:tab/>
      </w:r>
      <w:r>
        <w:rPr>
          <w:rFonts w:hint="eastAsia" w:ascii="宋体" w:hAnsi="宋体" w:cs="宋体"/>
          <w:color w:val="auto"/>
          <w:highlight w:val="none"/>
        </w:rPr>
        <w:t>5</w:t>
      </w:r>
      <w:r>
        <w:rPr>
          <w:rFonts w:hint="eastAsia" w:ascii="宋体" w:hAnsi="宋体" w:cs="宋体"/>
          <w:color w:val="auto"/>
          <w:highlight w:val="none"/>
        </w:rPr>
        <w:fldChar w:fldCharType="end"/>
      </w:r>
      <w:r>
        <w:rPr>
          <w:rFonts w:hint="eastAsia" w:ascii="宋体" w:hAnsi="宋体" w:cs="宋体"/>
          <w:color w:val="auto"/>
          <w:highlight w:val="none"/>
        </w:rPr>
        <w:t>3</w:t>
      </w:r>
    </w:p>
    <w:p>
      <w:pPr>
        <w:pStyle w:val="12"/>
        <w:tabs>
          <w:tab w:val="right" w:leader="dot" w:pos="8827"/>
        </w:tabs>
        <w:ind w:left="0" w:leftChars="0"/>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"_Toc23337" </w:instrText>
      </w:r>
      <w:r>
        <w:rPr>
          <w:color w:val="auto"/>
          <w:highlight w:val="none"/>
        </w:rPr>
        <w:fldChar w:fldCharType="separate"/>
      </w:r>
      <w:r>
        <w:rPr>
          <w:rFonts w:hint="eastAsia" w:ascii="宋体" w:hAnsi="宋体" w:cs="宋体"/>
          <w:b/>
          <w:bCs/>
          <w:color w:val="auto"/>
          <w:highlight w:val="none"/>
        </w:rPr>
        <w:t>七、变频柜技术规范书</w:t>
      </w:r>
      <w:r>
        <w:rPr>
          <w:rFonts w:hint="eastAsia" w:ascii="宋体" w:hAnsi="宋体" w:cs="宋体"/>
          <w:color w:val="auto"/>
          <w:highlight w:val="none"/>
        </w:rPr>
        <w:tab/>
      </w:r>
      <w:r>
        <w:rPr>
          <w:rFonts w:hint="eastAsia" w:ascii="宋体" w:hAnsi="宋体" w:cs="宋体"/>
          <w:color w:val="auto"/>
          <w:highlight w:val="none"/>
        </w:rPr>
        <w:t>5</w:t>
      </w:r>
      <w:r>
        <w:rPr>
          <w:rFonts w:hint="eastAsia" w:ascii="宋体" w:hAnsi="宋体" w:cs="宋体"/>
          <w:color w:val="auto"/>
          <w:highlight w:val="none"/>
        </w:rPr>
        <w:fldChar w:fldCharType="end"/>
      </w:r>
      <w:r>
        <w:rPr>
          <w:rFonts w:hint="eastAsia" w:ascii="宋体" w:hAnsi="宋体" w:cs="宋体"/>
          <w:color w:val="auto"/>
          <w:highlight w:val="none"/>
        </w:rPr>
        <w:t>4</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"_Toc7867" </w:instrText>
      </w:r>
      <w:r>
        <w:rPr>
          <w:color w:val="auto"/>
          <w:highlight w:val="none"/>
        </w:rPr>
        <w:fldChar w:fldCharType="separate"/>
      </w:r>
      <w:r>
        <w:rPr>
          <w:rFonts w:hint="eastAsia" w:ascii="宋体" w:hAnsi="宋体" w:cs="宋体"/>
          <w:color w:val="auto"/>
          <w:highlight w:val="none"/>
        </w:rPr>
        <w:t>1.1环境条件</w:t>
      </w:r>
      <w:r>
        <w:rPr>
          <w:rFonts w:hint="eastAsia" w:ascii="宋体" w:hAnsi="宋体" w:cs="宋体"/>
          <w:color w:val="auto"/>
          <w:highlight w:val="none"/>
        </w:rPr>
        <w:tab/>
      </w:r>
      <w:r>
        <w:rPr>
          <w:rFonts w:hint="eastAsia" w:ascii="宋体" w:hAnsi="宋体" w:cs="宋体"/>
          <w:color w:val="auto"/>
          <w:highlight w:val="none"/>
        </w:rPr>
        <w:t>5</w:t>
      </w:r>
      <w:r>
        <w:rPr>
          <w:rFonts w:hint="eastAsia" w:ascii="宋体" w:hAnsi="宋体" w:cs="宋体"/>
          <w:color w:val="auto"/>
          <w:highlight w:val="none"/>
        </w:rPr>
        <w:fldChar w:fldCharType="end"/>
      </w:r>
      <w:r>
        <w:rPr>
          <w:rFonts w:hint="eastAsia" w:ascii="宋体" w:hAnsi="宋体" w:cs="宋体"/>
          <w:color w:val="auto"/>
          <w:highlight w:val="none"/>
        </w:rPr>
        <w:t>4</w:t>
      </w:r>
    </w:p>
    <w:p>
      <w:pPr>
        <w:pStyle w:val="12"/>
        <w:tabs>
          <w:tab w:val="right" w:leader="dot" w:pos="8827"/>
        </w:tabs>
        <w:rPr>
          <w:rFonts w:hint="eastAsia" w:ascii="宋体" w:hAnsi="宋体" w:cs="宋体"/>
          <w:color w:val="auto"/>
          <w:highlight w:val="none"/>
        </w:rPr>
      </w:pPr>
      <w:r>
        <w:rPr>
          <w:color w:val="auto"/>
          <w:highlight w:val="none"/>
        </w:rPr>
        <w:fldChar w:fldCharType="begin"/>
      </w:r>
      <w:r>
        <w:rPr>
          <w:color w:val="auto"/>
          <w:highlight w:val="none"/>
        </w:rPr>
        <w:instrText xml:space="preserve"> HYPERLINK \l "_Toc7177" </w:instrText>
      </w:r>
      <w:r>
        <w:rPr>
          <w:color w:val="auto"/>
          <w:highlight w:val="none"/>
        </w:rPr>
        <w:fldChar w:fldCharType="separate"/>
      </w:r>
      <w:r>
        <w:rPr>
          <w:rFonts w:hint="eastAsia" w:ascii="宋体" w:hAnsi="宋体" w:cs="宋体"/>
          <w:color w:val="auto"/>
          <w:highlight w:val="none"/>
        </w:rPr>
        <w:t>1.2技术要求</w:t>
      </w:r>
      <w:r>
        <w:rPr>
          <w:rFonts w:hint="eastAsia" w:ascii="宋体" w:hAnsi="宋体" w:cs="宋体"/>
          <w:color w:val="auto"/>
          <w:highlight w:val="none"/>
        </w:rPr>
        <w:tab/>
      </w:r>
      <w:r>
        <w:rPr>
          <w:rFonts w:hint="eastAsia" w:ascii="宋体" w:hAnsi="宋体" w:cs="宋体"/>
          <w:color w:val="auto"/>
          <w:highlight w:val="none"/>
        </w:rPr>
        <w:t>5</w:t>
      </w:r>
      <w:r>
        <w:rPr>
          <w:rFonts w:hint="eastAsia" w:ascii="宋体" w:hAnsi="宋体" w:cs="宋体"/>
          <w:color w:val="auto"/>
          <w:highlight w:val="none"/>
        </w:rPr>
        <w:fldChar w:fldCharType="end"/>
      </w:r>
      <w:r>
        <w:rPr>
          <w:rFonts w:hint="eastAsia" w:ascii="宋体" w:hAnsi="宋体" w:cs="宋体"/>
          <w:color w:val="auto"/>
          <w:highlight w:val="none"/>
        </w:rPr>
        <w:t>4</w:t>
      </w:r>
    </w:p>
    <w:p>
      <w:pPr>
        <w:pStyle w:val="12"/>
        <w:tabs>
          <w:tab w:val="right" w:leader="dot" w:pos="8827"/>
        </w:tabs>
        <w:rPr>
          <w:rFonts w:hint="eastAsia"/>
          <w:color w:val="auto"/>
          <w:highlight w:val="none"/>
        </w:rPr>
      </w:pPr>
      <w:r>
        <w:rPr>
          <w:color w:val="auto"/>
          <w:highlight w:val="none"/>
        </w:rPr>
        <w:fldChar w:fldCharType="begin"/>
      </w:r>
      <w:r>
        <w:rPr>
          <w:color w:val="auto"/>
          <w:highlight w:val="none"/>
        </w:rPr>
        <w:instrText xml:space="preserve"> HYPERLINK \l "_Toc20226" </w:instrText>
      </w:r>
      <w:r>
        <w:rPr>
          <w:color w:val="auto"/>
          <w:highlight w:val="none"/>
        </w:rPr>
        <w:fldChar w:fldCharType="separate"/>
      </w:r>
      <w:r>
        <w:rPr>
          <w:rFonts w:hint="eastAsia" w:ascii="宋体" w:hAnsi="宋体" w:cs="宋体"/>
          <w:color w:val="auto"/>
          <w:highlight w:val="none"/>
        </w:rPr>
        <w:t>1.3设计制造引用相关标准</w:t>
      </w:r>
      <w:r>
        <w:rPr>
          <w:rFonts w:hint="eastAsia" w:ascii="宋体" w:hAnsi="宋体" w:cs="宋体"/>
          <w:color w:val="auto"/>
          <w:highlight w:val="none"/>
        </w:rPr>
        <w:tab/>
      </w:r>
      <w:r>
        <w:rPr>
          <w:rFonts w:hint="eastAsia" w:ascii="宋体" w:hAnsi="宋体" w:cs="宋体"/>
          <w:color w:val="auto"/>
          <w:highlight w:val="none"/>
        </w:rPr>
        <w:t>6</w:t>
      </w:r>
      <w:r>
        <w:rPr>
          <w:rFonts w:hint="eastAsia" w:ascii="宋体" w:hAnsi="宋体" w:cs="宋体"/>
          <w:color w:val="auto"/>
          <w:highlight w:val="none"/>
        </w:rPr>
        <w:fldChar w:fldCharType="end"/>
      </w:r>
      <w:r>
        <w:rPr>
          <w:rFonts w:hint="eastAsia" w:ascii="宋体" w:hAnsi="宋体" w:cs="宋体"/>
          <w:color w:val="auto"/>
          <w:highlight w:val="none"/>
        </w:rPr>
        <w:t>1</w:t>
      </w:r>
    </w:p>
    <w:p>
      <w:pPr>
        <w:spacing w:line="360" w:lineRule="auto"/>
        <w:jc w:val="center"/>
        <w:rPr>
          <w:rFonts w:hint="eastAsia" w:ascii="宋体" w:hAnsi="宋体" w:cs="宋体"/>
          <w:b/>
          <w:snapToGrid w:val="0"/>
          <w:color w:val="auto"/>
          <w:spacing w:val="1"/>
          <w:w w:val="99"/>
          <w:kern w:val="0"/>
          <w:szCs w:val="21"/>
          <w:highlight w:val="none"/>
        </w:rPr>
        <w:sectPr>
          <w:footerReference r:id="rId3" w:type="default"/>
          <w:pgSz w:w="11907" w:h="16840"/>
          <w:pgMar w:top="1380" w:right="1480" w:bottom="1380" w:left="1600" w:header="0" w:footer="1195" w:gutter="0"/>
          <w:pgNumType w:start="1"/>
          <w:cols w:space="720" w:num="1"/>
        </w:sectPr>
      </w:pPr>
      <w:r>
        <w:rPr>
          <w:rFonts w:hint="eastAsia" w:ascii="宋体" w:hAnsi="宋体" w:cs="宋体"/>
          <w:snapToGrid w:val="0"/>
          <w:color w:val="auto"/>
          <w:spacing w:val="1"/>
          <w:w w:val="99"/>
          <w:kern w:val="0"/>
          <w:szCs w:val="21"/>
          <w:highlight w:val="none"/>
        </w:rPr>
        <w:fldChar w:fldCharType="end"/>
      </w:r>
    </w:p>
    <w:p>
      <w:pPr>
        <w:spacing w:line="360" w:lineRule="auto"/>
        <w:rPr>
          <w:rFonts w:hint="eastAsia" w:ascii="宋体" w:hAnsi="宋体" w:cs="宋体"/>
          <w:b/>
          <w:snapToGrid w:val="0"/>
          <w:color w:val="auto"/>
          <w:spacing w:val="1"/>
          <w:w w:val="99"/>
          <w:kern w:val="0"/>
          <w:szCs w:val="21"/>
          <w:highlight w:val="none"/>
        </w:rPr>
      </w:pPr>
    </w:p>
    <w:p>
      <w:pPr>
        <w:spacing w:line="360" w:lineRule="auto"/>
        <w:jc w:val="center"/>
        <w:outlineLvl w:val="0"/>
        <w:rPr>
          <w:rFonts w:hint="eastAsia" w:ascii="宋体" w:hAnsi="宋体" w:cs="宋体"/>
          <w:b/>
          <w:snapToGrid w:val="0"/>
          <w:color w:val="auto"/>
          <w:spacing w:val="1"/>
          <w:w w:val="99"/>
          <w:kern w:val="0"/>
          <w:szCs w:val="21"/>
          <w:highlight w:val="none"/>
        </w:rPr>
      </w:pPr>
      <w:bookmarkStart w:id="0" w:name="_Toc164"/>
      <w:r>
        <w:rPr>
          <w:rFonts w:hint="eastAsia" w:ascii="宋体" w:hAnsi="宋体" w:cs="宋体"/>
          <w:b/>
          <w:snapToGrid w:val="0"/>
          <w:color w:val="auto"/>
          <w:spacing w:val="1"/>
          <w:w w:val="99"/>
          <w:kern w:val="0"/>
          <w:szCs w:val="21"/>
          <w:highlight w:val="none"/>
        </w:rPr>
        <w:t>一、0.4kV低压开关柜技术规范书</w:t>
      </w:r>
      <w:bookmarkEnd w:id="0"/>
    </w:p>
    <w:p>
      <w:pPr>
        <w:spacing w:line="360" w:lineRule="auto"/>
        <w:jc w:val="center"/>
        <w:rPr>
          <w:rFonts w:hint="eastAsia" w:ascii="宋体" w:hAnsi="宋体" w:cs="宋体"/>
          <w:b/>
          <w:snapToGrid w:val="0"/>
          <w:color w:val="auto"/>
          <w:spacing w:val="1"/>
          <w:w w:val="99"/>
          <w:kern w:val="0"/>
          <w:szCs w:val="21"/>
          <w:highlight w:val="none"/>
        </w:rPr>
      </w:pPr>
    </w:p>
    <w:p>
      <w:pPr>
        <w:spacing w:line="360" w:lineRule="auto"/>
        <w:outlineLvl w:val="1"/>
        <w:rPr>
          <w:rFonts w:hint="eastAsia" w:ascii="宋体" w:hAnsi="宋体" w:cs="宋体"/>
          <w:b/>
          <w:color w:val="auto"/>
          <w:szCs w:val="21"/>
          <w:highlight w:val="none"/>
        </w:rPr>
      </w:pPr>
      <w:bookmarkStart w:id="1" w:name="_Toc7586"/>
      <w:r>
        <w:rPr>
          <w:rFonts w:hint="eastAsia" w:ascii="宋体" w:hAnsi="宋体" w:cs="宋体"/>
          <w:b/>
          <w:color w:val="auto"/>
          <w:szCs w:val="21"/>
          <w:highlight w:val="none"/>
        </w:rPr>
        <w:t>1.1基本要求</w:t>
      </w:r>
      <w:bookmarkEnd w:id="1"/>
    </w:p>
    <w:p>
      <w:pPr>
        <w:pStyle w:val="6"/>
        <w:tabs>
          <w:tab w:val="left" w:pos="545"/>
        </w:tabs>
        <w:spacing w:before="64"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1.1.1环境条件</w:t>
      </w:r>
    </w:p>
    <w:p>
      <w:pPr>
        <w:numPr>
          <w:ilvl w:val="0"/>
          <w:numId w:val="2"/>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海拔高度不超过1000m.</w:t>
      </w:r>
    </w:p>
    <w:p>
      <w:pPr>
        <w:numPr>
          <w:ilvl w:val="0"/>
          <w:numId w:val="2"/>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最高气温：+400C   （最高日平均气温+350C）</w:t>
      </w:r>
    </w:p>
    <w:p>
      <w:pPr>
        <w:numPr>
          <w:ilvl w:val="0"/>
          <w:numId w:val="2"/>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最低气温：-50C</w:t>
      </w:r>
    </w:p>
    <w:p>
      <w:pPr>
        <w:numPr>
          <w:ilvl w:val="0"/>
          <w:numId w:val="2"/>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相对湿度：50%      （当环境温度为+400C时）</w:t>
      </w:r>
    </w:p>
    <w:p>
      <w:pPr>
        <w:numPr>
          <w:ilvl w:val="0"/>
          <w:numId w:val="2"/>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地震设防烈度        8度</w:t>
      </w:r>
    </w:p>
    <w:p>
      <w:pPr>
        <w:pStyle w:val="6"/>
        <w:tabs>
          <w:tab w:val="left" w:pos="545"/>
        </w:tabs>
        <w:spacing w:before="64" w:line="360" w:lineRule="auto"/>
        <w:ind w:firstLine="436" w:firstLineChars="200"/>
        <w:rPr>
          <w:rFonts w:hint="eastAsia" w:ascii="宋体" w:hAnsi="宋体" w:cs="宋体"/>
          <w:color w:val="auto"/>
          <w:szCs w:val="21"/>
          <w:highlight w:val="none"/>
        </w:rPr>
      </w:pPr>
      <w:r>
        <w:rPr>
          <w:rFonts w:hint="eastAsia" w:ascii="宋体" w:hAnsi="宋体" w:cs="宋体"/>
          <w:color w:val="auto"/>
          <w:spacing w:val="4"/>
          <w:szCs w:val="21"/>
          <w:highlight w:val="none"/>
        </w:rPr>
        <w:t>1.1.2低压配电柜的柜型选用GCS或MN</w:t>
      </w:r>
      <w:bookmarkStart w:id="175" w:name="_GoBack"/>
      <w:bookmarkEnd w:id="175"/>
      <w:r>
        <w:rPr>
          <w:rFonts w:hint="eastAsia" w:ascii="宋体" w:hAnsi="宋体" w:cs="宋体"/>
          <w:color w:val="auto"/>
          <w:spacing w:val="4"/>
          <w:szCs w:val="21"/>
          <w:highlight w:val="none"/>
        </w:rPr>
        <w:t>S柜型，采用上上进线上出线形式。</w:t>
      </w:r>
    </w:p>
    <w:p>
      <w:pPr>
        <w:pStyle w:val="6"/>
        <w:tabs>
          <w:tab w:val="left" w:pos="545"/>
        </w:tabs>
        <w:spacing w:before="64" w:line="360" w:lineRule="auto"/>
        <w:ind w:firstLine="424" w:firstLineChars="200"/>
        <w:rPr>
          <w:rFonts w:ascii="宋体" w:hAnsi="宋体" w:cs="宋体"/>
          <w:color w:val="auto"/>
          <w:szCs w:val="21"/>
          <w:highlight w:val="none"/>
        </w:rPr>
      </w:pPr>
      <w:r>
        <w:rPr>
          <w:rFonts w:hint="eastAsia" w:ascii="宋体" w:hAnsi="宋体" w:cs="宋体"/>
          <w:color w:val="auto"/>
          <w:spacing w:val="1"/>
          <w:szCs w:val="21"/>
          <w:highlight w:val="none"/>
        </w:rPr>
        <w:t>1.1.3投标方应有符合国家规定相关资质</w:t>
      </w:r>
      <w:r>
        <w:rPr>
          <w:rFonts w:hint="eastAsia" w:ascii="宋体" w:hAnsi="宋体" w:cs="宋体"/>
          <w:color w:val="auto"/>
          <w:szCs w:val="21"/>
          <w:highlight w:val="none"/>
        </w:rPr>
        <w:t>。</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1.1.4投标人用于本次招标采购设备选用的材料、零部件应符合但不限于以上规范、标准的最新版本，如有不涉及上述技术标准和规范之处，投标人应提供所采用的国际和国家标准、规范以及所采用版本的有关技术资料，经招标人批准后方可采用。</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1.1.5投标人应使本次招标采购设备选用的材料、零部件符合最新版本的国际和国家标准、规范，并提供所采用的国际和国家标准、规范以及所采用版本的有关技术资料。</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1.1.6投标人使用上述以外的标准和规范时，应清楚地说明并提交用于替代的标准或规范，明显的差异点要说明。当推荐的标准和规范等效于或优于本规格书的要求时，才可能为招标人接受。</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1.1.7投标人必须提供本次投标所使用柜型的该投标人（成套厂商）的相应型号的全套型式试验报告（TTA）及3C认证证书。</w:t>
      </w:r>
    </w:p>
    <w:p>
      <w:pPr>
        <w:pStyle w:val="6"/>
        <w:spacing w:before="65" w:line="360" w:lineRule="auto"/>
        <w:ind w:right="135" w:firstLine="428" w:firstLineChars="200"/>
        <w:rPr>
          <w:rFonts w:hint="eastAsia" w:ascii="宋体" w:hAnsi="宋体" w:cs="宋体"/>
          <w:color w:val="auto"/>
          <w:szCs w:val="21"/>
          <w:highlight w:val="none"/>
        </w:rPr>
      </w:pPr>
      <w:r>
        <w:rPr>
          <w:rFonts w:hint="eastAsia" w:ascii="宋体" w:hAnsi="宋体" w:cs="宋体"/>
          <w:color w:val="auto"/>
          <w:spacing w:val="2"/>
          <w:szCs w:val="21"/>
          <w:highlight w:val="none"/>
        </w:rPr>
        <w:t>1.1.8主要电气</w:t>
      </w:r>
      <w:r>
        <w:rPr>
          <w:rFonts w:hint="eastAsia" w:ascii="宋体" w:hAnsi="宋体" w:cs="宋体"/>
          <w:color w:val="auto"/>
          <w:spacing w:val="3"/>
          <w:szCs w:val="21"/>
          <w:highlight w:val="none"/>
        </w:rPr>
        <w:t>元</w:t>
      </w:r>
      <w:r>
        <w:rPr>
          <w:rFonts w:hint="eastAsia" w:ascii="宋体" w:hAnsi="宋体" w:cs="宋体"/>
          <w:color w:val="auto"/>
          <w:szCs w:val="21"/>
          <w:highlight w:val="none"/>
        </w:rPr>
        <w:t>器</w:t>
      </w:r>
      <w:r>
        <w:rPr>
          <w:rFonts w:hint="eastAsia" w:ascii="宋体" w:hAnsi="宋体" w:cs="宋体"/>
          <w:color w:val="auto"/>
          <w:spacing w:val="1"/>
          <w:szCs w:val="21"/>
          <w:highlight w:val="none"/>
        </w:rPr>
        <w:t>件（低</w:t>
      </w:r>
      <w:r>
        <w:rPr>
          <w:rFonts w:hint="eastAsia" w:ascii="宋体" w:hAnsi="宋体" w:cs="宋体"/>
          <w:color w:val="auto"/>
          <w:spacing w:val="2"/>
          <w:szCs w:val="21"/>
          <w:highlight w:val="none"/>
        </w:rPr>
        <w:t>压断</w:t>
      </w:r>
      <w:r>
        <w:rPr>
          <w:rFonts w:hint="eastAsia" w:ascii="宋体" w:hAnsi="宋体" w:cs="宋体"/>
          <w:color w:val="auto"/>
          <w:spacing w:val="1"/>
          <w:szCs w:val="21"/>
          <w:highlight w:val="none"/>
        </w:rPr>
        <w:t>路器、</w:t>
      </w:r>
      <w:r>
        <w:rPr>
          <w:rFonts w:hint="eastAsia" w:ascii="宋体" w:hAnsi="宋体" w:cs="宋体"/>
          <w:color w:val="auto"/>
          <w:spacing w:val="2"/>
          <w:szCs w:val="21"/>
          <w:highlight w:val="none"/>
        </w:rPr>
        <w:t>接触</w:t>
      </w:r>
      <w:r>
        <w:rPr>
          <w:rFonts w:hint="eastAsia" w:ascii="宋体" w:hAnsi="宋体" w:cs="宋体"/>
          <w:color w:val="auto"/>
          <w:spacing w:val="1"/>
          <w:szCs w:val="21"/>
          <w:highlight w:val="none"/>
        </w:rPr>
        <w:t>器、热</w:t>
      </w:r>
      <w:r>
        <w:rPr>
          <w:rFonts w:hint="eastAsia" w:ascii="宋体" w:hAnsi="宋体" w:cs="宋体"/>
          <w:color w:val="auto"/>
          <w:spacing w:val="2"/>
          <w:szCs w:val="21"/>
          <w:highlight w:val="none"/>
        </w:rPr>
        <w:t>继电</w:t>
      </w:r>
      <w:r>
        <w:rPr>
          <w:rFonts w:hint="eastAsia" w:ascii="宋体" w:hAnsi="宋体" w:cs="宋体"/>
          <w:color w:val="auto"/>
          <w:spacing w:val="1"/>
          <w:szCs w:val="21"/>
          <w:highlight w:val="none"/>
        </w:rPr>
        <w:t>器，变频器等主要一次元件）</w:t>
      </w:r>
      <w:r>
        <w:rPr>
          <w:rFonts w:hint="eastAsia" w:ascii="宋体" w:hAnsi="宋体" w:cs="宋体"/>
          <w:color w:val="auto"/>
          <w:spacing w:val="2"/>
          <w:szCs w:val="21"/>
          <w:highlight w:val="none"/>
        </w:rPr>
        <w:t>提供出</w:t>
      </w:r>
      <w:r>
        <w:rPr>
          <w:rFonts w:hint="eastAsia" w:ascii="宋体" w:hAnsi="宋体" w:cs="宋体"/>
          <w:color w:val="auto"/>
          <w:spacing w:val="1"/>
          <w:szCs w:val="21"/>
          <w:highlight w:val="none"/>
        </w:rPr>
        <w:t>厂检</w:t>
      </w:r>
      <w:r>
        <w:rPr>
          <w:rFonts w:hint="eastAsia" w:ascii="宋体" w:hAnsi="宋体" w:cs="宋体"/>
          <w:color w:val="auto"/>
          <w:spacing w:val="2"/>
          <w:szCs w:val="21"/>
          <w:highlight w:val="none"/>
        </w:rPr>
        <w:t>测</w:t>
      </w:r>
      <w:r>
        <w:rPr>
          <w:rFonts w:hint="eastAsia" w:ascii="宋体" w:hAnsi="宋体" w:cs="宋体"/>
          <w:color w:val="auto"/>
          <w:szCs w:val="21"/>
          <w:highlight w:val="none"/>
        </w:rPr>
        <w:t>报告。</w:t>
      </w:r>
    </w:p>
    <w:p>
      <w:pPr>
        <w:pStyle w:val="6"/>
        <w:tabs>
          <w:tab w:val="left" w:pos="507"/>
        </w:tabs>
        <w:spacing w:before="65" w:line="360" w:lineRule="auto"/>
        <w:ind w:right="143" w:firstLine="436" w:firstLineChars="200"/>
        <w:rPr>
          <w:rFonts w:hint="eastAsia" w:ascii="宋体" w:hAnsi="宋体" w:cs="宋体"/>
          <w:color w:val="auto"/>
          <w:szCs w:val="21"/>
          <w:highlight w:val="none"/>
        </w:rPr>
      </w:pPr>
      <w:r>
        <w:rPr>
          <w:rFonts w:hint="eastAsia" w:ascii="宋体" w:hAnsi="宋体" w:cs="宋体"/>
          <w:color w:val="auto"/>
          <w:spacing w:val="4"/>
          <w:szCs w:val="21"/>
          <w:highlight w:val="none"/>
        </w:rPr>
        <w:t>1.1.9二次</w:t>
      </w:r>
      <w:r>
        <w:rPr>
          <w:rFonts w:hint="eastAsia" w:ascii="宋体" w:hAnsi="宋体" w:cs="宋体"/>
          <w:color w:val="auto"/>
          <w:spacing w:val="6"/>
          <w:szCs w:val="21"/>
          <w:highlight w:val="none"/>
        </w:rPr>
        <w:t>回</w:t>
      </w:r>
      <w:r>
        <w:rPr>
          <w:rFonts w:hint="eastAsia" w:ascii="宋体" w:hAnsi="宋体" w:cs="宋体"/>
          <w:color w:val="auto"/>
          <w:spacing w:val="4"/>
          <w:szCs w:val="21"/>
          <w:highlight w:val="none"/>
        </w:rPr>
        <w:t>路控制器件（时间继电器、中间继电器、信号灯、按钮等功能控制</w:t>
      </w:r>
      <w:r>
        <w:rPr>
          <w:rFonts w:hint="eastAsia" w:ascii="宋体" w:hAnsi="宋体" w:cs="宋体"/>
          <w:color w:val="auto"/>
          <w:spacing w:val="3"/>
          <w:szCs w:val="21"/>
          <w:highlight w:val="none"/>
        </w:rPr>
        <w:t>开</w:t>
      </w:r>
      <w:r>
        <w:rPr>
          <w:rFonts w:hint="eastAsia" w:ascii="宋体" w:hAnsi="宋体" w:cs="宋体"/>
          <w:color w:val="auto"/>
          <w:spacing w:val="2"/>
          <w:szCs w:val="21"/>
          <w:highlight w:val="none"/>
        </w:rPr>
        <w:t>关等</w:t>
      </w:r>
      <w:r>
        <w:rPr>
          <w:rFonts w:hint="eastAsia" w:ascii="宋体" w:hAnsi="宋体" w:cs="宋体"/>
          <w:color w:val="auto"/>
          <w:spacing w:val="3"/>
          <w:szCs w:val="21"/>
          <w:highlight w:val="none"/>
        </w:rPr>
        <w:t>）</w:t>
      </w:r>
      <w:r>
        <w:rPr>
          <w:rFonts w:hint="eastAsia" w:ascii="宋体" w:hAnsi="宋体" w:cs="宋体"/>
          <w:color w:val="auto"/>
          <w:szCs w:val="21"/>
          <w:highlight w:val="none"/>
        </w:rPr>
        <w:t>提供出厂检测报告。</w:t>
      </w:r>
    </w:p>
    <w:p>
      <w:pPr>
        <w:pStyle w:val="6"/>
        <w:spacing w:before="65" w:line="360" w:lineRule="auto"/>
        <w:ind w:right="135" w:firstLine="444" w:firstLineChars="200"/>
        <w:rPr>
          <w:rFonts w:hint="eastAsia" w:ascii="宋体" w:hAnsi="宋体" w:cs="宋体"/>
          <w:color w:val="auto"/>
          <w:spacing w:val="6"/>
          <w:szCs w:val="21"/>
          <w:highlight w:val="none"/>
        </w:rPr>
      </w:pPr>
      <w:r>
        <w:rPr>
          <w:rFonts w:hint="eastAsia" w:ascii="宋体" w:hAnsi="宋体" w:cs="宋体"/>
          <w:color w:val="auto"/>
          <w:spacing w:val="6"/>
          <w:szCs w:val="21"/>
          <w:highlight w:val="none"/>
        </w:rPr>
        <w:t>1.1.10出式功能单元应有四个明显的位置：连接位置、试验位置、隔离位置、分离位置。各个位置应有明显的文字符号标志。</w:t>
      </w:r>
    </w:p>
    <w:p>
      <w:pPr>
        <w:pStyle w:val="6"/>
        <w:spacing w:before="65" w:line="360" w:lineRule="auto"/>
        <w:ind w:right="135" w:firstLine="444" w:firstLineChars="200"/>
        <w:rPr>
          <w:rFonts w:hint="eastAsia" w:ascii="宋体" w:hAnsi="宋体" w:cs="宋体"/>
          <w:color w:val="auto"/>
          <w:spacing w:val="6"/>
          <w:szCs w:val="21"/>
          <w:highlight w:val="none"/>
        </w:rPr>
      </w:pPr>
      <w:r>
        <w:rPr>
          <w:rFonts w:hint="eastAsia" w:ascii="宋体" w:hAnsi="宋体" w:cs="宋体"/>
          <w:color w:val="auto"/>
          <w:spacing w:val="6"/>
          <w:szCs w:val="21"/>
          <w:highlight w:val="none"/>
        </w:rPr>
        <w:t>1.1.11各个功能单元的面板上应设有红灯、绿灯及黄灯,并分别表示断路器或接触器的合、分闸位置及故障信号。低压开关柜的面板上设置智能电力测控仪表。</w:t>
      </w:r>
    </w:p>
    <w:p>
      <w:pPr>
        <w:pStyle w:val="6"/>
        <w:spacing w:before="65" w:line="360" w:lineRule="auto"/>
        <w:ind w:right="135" w:firstLine="444" w:firstLineChars="200"/>
        <w:rPr>
          <w:rFonts w:hint="eastAsia" w:ascii="宋体" w:hAnsi="宋体" w:cs="宋体"/>
          <w:color w:val="auto"/>
          <w:spacing w:val="6"/>
          <w:szCs w:val="21"/>
          <w:highlight w:val="none"/>
        </w:rPr>
      </w:pPr>
      <w:r>
        <w:rPr>
          <w:rFonts w:hint="eastAsia" w:ascii="宋体" w:hAnsi="宋体" w:cs="宋体"/>
          <w:color w:val="auto"/>
          <w:spacing w:val="6"/>
          <w:szCs w:val="21"/>
          <w:highlight w:val="none"/>
        </w:rPr>
        <w:t>1.1.12相同规格的功能单元应具有互换性，即使在出线端短路事故发生后，其互换性也不应破坏；各功能单元应独立分隔，其防护等级不低于IP20。</w:t>
      </w:r>
    </w:p>
    <w:p>
      <w:pPr>
        <w:pStyle w:val="6"/>
        <w:spacing w:before="65" w:line="360" w:lineRule="auto"/>
        <w:ind w:right="135" w:firstLine="444" w:firstLineChars="200"/>
        <w:rPr>
          <w:rFonts w:hint="eastAsia" w:ascii="宋体" w:hAnsi="宋体" w:cs="宋体"/>
          <w:color w:val="auto"/>
          <w:spacing w:val="6"/>
          <w:szCs w:val="21"/>
          <w:highlight w:val="none"/>
        </w:rPr>
      </w:pPr>
      <w:r>
        <w:rPr>
          <w:rFonts w:hint="eastAsia" w:ascii="宋体" w:hAnsi="宋体" w:cs="宋体"/>
          <w:color w:val="auto"/>
          <w:spacing w:val="6"/>
          <w:szCs w:val="21"/>
          <w:highlight w:val="none"/>
        </w:rPr>
        <w:t>1.1.13所有电器设备、元件及其附件在系统电压:AC400V/690V，系统额定频率: 50Hz±2Hz下能长期稳定可靠运行；</w:t>
      </w:r>
    </w:p>
    <w:p>
      <w:pPr>
        <w:pStyle w:val="6"/>
        <w:spacing w:before="65" w:line="360" w:lineRule="auto"/>
        <w:ind w:right="135" w:firstLine="444" w:firstLineChars="200"/>
        <w:rPr>
          <w:rFonts w:hint="eastAsia" w:ascii="宋体" w:hAnsi="宋体" w:cs="宋体"/>
          <w:color w:val="auto"/>
          <w:spacing w:val="6"/>
          <w:szCs w:val="21"/>
          <w:highlight w:val="none"/>
        </w:rPr>
      </w:pPr>
      <w:r>
        <w:rPr>
          <w:rFonts w:hint="eastAsia" w:ascii="宋体" w:hAnsi="宋体" w:cs="宋体"/>
          <w:color w:val="auto"/>
          <w:spacing w:val="6"/>
          <w:szCs w:val="21"/>
          <w:highlight w:val="none"/>
        </w:rPr>
        <w:t>1.1.14所有电器设备、元件及其附件均采用工业级产品，具有抗电磁干扰能力，满足相关国际、国家标准；</w:t>
      </w:r>
    </w:p>
    <w:p>
      <w:pPr>
        <w:spacing w:line="360" w:lineRule="auto"/>
        <w:outlineLvl w:val="1"/>
        <w:rPr>
          <w:rFonts w:hint="eastAsia" w:ascii="宋体" w:hAnsi="宋体" w:cs="宋体"/>
          <w:b/>
          <w:color w:val="auto"/>
          <w:szCs w:val="21"/>
          <w:highlight w:val="none"/>
        </w:rPr>
      </w:pPr>
      <w:bookmarkStart w:id="2" w:name="_Toc8657"/>
      <w:r>
        <w:rPr>
          <w:rFonts w:hint="eastAsia" w:ascii="宋体" w:hAnsi="宋体" w:cs="宋体"/>
          <w:b/>
          <w:color w:val="auto"/>
          <w:szCs w:val="21"/>
          <w:highlight w:val="none"/>
        </w:rPr>
        <w:t>1.2标准</w:t>
      </w:r>
      <w:bookmarkEnd w:id="2"/>
    </w:p>
    <w:p>
      <w:pPr>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生产商须遵循的标准（包含不限于）、技术要求、试验、包装及储运的要求，并应满足施工图、招标文件的规定。</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GB/T50062-2008《电力装置的继电保护和自动装置设计规范》</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GB50052-2009《供配电系统设计规范》</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GB50054-2011《低压配电设计规范》</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GB50055-2011《通用用电设备配电设计规范》</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GB51348-2019《民用建筑电气设计标准》</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GB50053-2013《20kV及以下变电所设计规范》</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GB50343-2012《建筑物电子信息系统防雷技术规范》</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GB50016-2014《建筑设计防火规范》（2018年版）</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GB14287.1-2014  电气火灾监控系统第1部分：电气火灾监控设备</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GB14287.2 电气火灾监控系统第2部分:剩余电流式电气火灾监控探测器</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GB14287.3-2014  电气火灾监控系统第3部分：测温式电气火灾监控探测器</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DBJ/T15-77《电气火灾预警系统设计、施工及验收规范》</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GB50116-2013《火灾自动报警系统设计规范》</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GB/T50063-2008《电力装置的电测量仪表装置设计规范》</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GB50217-2007《电力工程电缆设计规范》</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GB/T5465《电气设备用图形符号》</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GB/T14549-1993《电能质量公用电网谐波》</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GB12325-2008《电能质量供电电压允许偏差》</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GB/T50064-2014《交流电气装置的过电压保护和绝缘配合》</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GB50065-2011《交流电气装置的接地设计规范》</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GB156-2007《标准电压》</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GB4208-2008《外壳防护等级（IP代码）》</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GB14048.1-2012《低压开关设备和控制设备第1部分总则》</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GB14048.2-2008《低压开关设备和控制设备第2部分断路器》</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GB.14048.3-2008《低压开关设备和控制设备第3部分开关、隔离器、隔离开关及熔断器组合电器》</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GB14048.4-2010《低压开关设备和控制设备机电式接触器和电动机启动器》</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GB14048.5-2008《低压开关设备和控制设备第5-1部分控制电路电器和开关元件.机电式控制电路电器》</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GB14048.6-2008《低压开关设备和控制设备第4-2部分接触器和电机启动器.交流半导体电动机控制器和启动器（含软启动器）》</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GB/T14048.7-2006《低压开关设备和控制设备第7-1部分：辅助器件铜导体的接线端子排》</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GB/T14048.8-2006《低压开关设备和控制设备第7-2部分：辅助器件铜导体的保护导体接线端子排》</w:t>
      </w:r>
    </w:p>
    <w:p>
      <w:pPr>
        <w:numPr>
          <w:ilvl w:val="0"/>
          <w:numId w:val="3"/>
        </w:numPr>
        <w:tabs>
          <w:tab w:val="left" w:pos="420"/>
        </w:tabs>
        <w:spacing w:line="360" w:lineRule="auto"/>
        <w:ind w:left="851" w:hanging="431"/>
        <w:rPr>
          <w:rFonts w:hint="eastAsia" w:ascii="宋体" w:hAnsi="宋体" w:cs="宋体"/>
          <w:color w:val="auto"/>
          <w:szCs w:val="21"/>
          <w:highlight w:val="none"/>
        </w:rPr>
      </w:pPr>
      <w:r>
        <w:rPr>
          <w:color w:val="auto"/>
          <w:highlight w:val="none"/>
        </w:rPr>
        <w:fldChar w:fldCharType="begin"/>
      </w:r>
      <w:r>
        <w:rPr>
          <w:color w:val="auto"/>
          <w:highlight w:val="none"/>
        </w:rPr>
        <w:instrText xml:space="preserve"> HYPERLINK "http://220.181.176.160/stdlinfo/servlet/com.sac.sacQuery.GjbzcxDetailServlet?std_code=GB/T%2014048.11-2008" </w:instrText>
      </w:r>
      <w:r>
        <w:rPr>
          <w:color w:val="auto"/>
          <w:highlight w:val="none"/>
        </w:rPr>
        <w:fldChar w:fldCharType="separate"/>
      </w:r>
      <w:r>
        <w:rPr>
          <w:rFonts w:hint="eastAsia" w:ascii="宋体" w:hAnsi="宋体" w:cs="宋体"/>
          <w:color w:val="auto"/>
          <w:szCs w:val="21"/>
          <w:highlight w:val="none"/>
        </w:rPr>
        <w:t>GB/T14048.11-2008</w:t>
      </w:r>
      <w:r>
        <w:rPr>
          <w:rFonts w:hint="eastAsia" w:ascii="宋体" w:hAnsi="宋体" w:cs="宋体"/>
          <w:color w:val="auto"/>
          <w:szCs w:val="21"/>
          <w:highlight w:val="none"/>
        </w:rPr>
        <w:fldChar w:fldCharType="end"/>
      </w:r>
      <w:r>
        <w:rPr>
          <w:rFonts w:hint="eastAsia" w:ascii="宋体" w:hAnsi="宋体" w:cs="宋体"/>
          <w:color w:val="auto"/>
          <w:szCs w:val="21"/>
          <w:highlight w:val="none"/>
        </w:rPr>
        <w:t>《低压开关设备和控制设备第6-1部分：多功能电器转换开关电器》</w:t>
      </w:r>
    </w:p>
    <w:p>
      <w:pPr>
        <w:numPr>
          <w:ilvl w:val="0"/>
          <w:numId w:val="3"/>
        </w:numPr>
        <w:tabs>
          <w:tab w:val="left" w:pos="420"/>
        </w:tabs>
        <w:spacing w:line="360" w:lineRule="auto"/>
        <w:ind w:left="851" w:hanging="431"/>
        <w:rPr>
          <w:rFonts w:hint="eastAsia" w:ascii="宋体" w:hAnsi="宋体" w:cs="宋体"/>
          <w:color w:val="auto"/>
          <w:szCs w:val="21"/>
          <w:highlight w:val="none"/>
        </w:rPr>
      </w:pPr>
      <w:r>
        <w:rPr>
          <w:color w:val="auto"/>
          <w:highlight w:val="none"/>
        </w:rPr>
        <w:fldChar w:fldCharType="begin"/>
      </w:r>
      <w:r>
        <w:rPr>
          <w:color w:val="auto"/>
          <w:highlight w:val="none"/>
        </w:rPr>
        <w:instrText xml:space="preserve"> HYPERLINK "http://220.181.176.160/stdlinfo/servlet/com.sac.sacQuery.GjbzcxDetailServlet?std_code=GB/T%2014048.18-2008" </w:instrText>
      </w:r>
      <w:r>
        <w:rPr>
          <w:color w:val="auto"/>
          <w:highlight w:val="none"/>
        </w:rPr>
        <w:fldChar w:fldCharType="separate"/>
      </w:r>
      <w:r>
        <w:rPr>
          <w:rFonts w:hint="eastAsia" w:ascii="宋体" w:hAnsi="宋体" w:cs="宋体"/>
          <w:color w:val="auto"/>
          <w:szCs w:val="21"/>
          <w:highlight w:val="none"/>
        </w:rPr>
        <w:t>GB/T14048.18-2008</w:t>
      </w:r>
      <w:r>
        <w:rPr>
          <w:rFonts w:hint="eastAsia" w:ascii="宋体" w:hAnsi="宋体" w:cs="宋体"/>
          <w:color w:val="auto"/>
          <w:szCs w:val="21"/>
          <w:highlight w:val="none"/>
        </w:rPr>
        <w:fldChar w:fldCharType="end"/>
      </w:r>
      <w:r>
        <w:rPr>
          <w:rFonts w:hint="eastAsia" w:ascii="宋体" w:hAnsi="宋体" w:cs="宋体"/>
          <w:color w:val="auto"/>
          <w:szCs w:val="21"/>
          <w:highlight w:val="none"/>
        </w:rPr>
        <w:t>《低压开关设备和控制设备第7-3部分：辅助器件熔断器接线端子排的安全要求》</w:t>
      </w:r>
    </w:p>
    <w:p>
      <w:pPr>
        <w:numPr>
          <w:ilvl w:val="0"/>
          <w:numId w:val="3"/>
        </w:numPr>
        <w:tabs>
          <w:tab w:val="left" w:pos="420"/>
        </w:tabs>
        <w:spacing w:line="360" w:lineRule="auto"/>
        <w:ind w:left="851" w:hanging="431"/>
        <w:rPr>
          <w:rFonts w:hint="eastAsia" w:ascii="宋体" w:hAnsi="宋体" w:cs="宋体"/>
          <w:color w:val="auto"/>
          <w:szCs w:val="21"/>
          <w:highlight w:val="none"/>
        </w:rPr>
      </w:pPr>
      <w:bookmarkStart w:id="3" w:name="OLE_LINK1"/>
      <w:r>
        <w:rPr>
          <w:rFonts w:hint="eastAsia" w:ascii="宋体" w:hAnsi="宋体" w:cs="宋体"/>
          <w:color w:val="auto"/>
          <w:szCs w:val="21"/>
          <w:highlight w:val="none"/>
        </w:rPr>
        <w:t>GB7251.1-</w:t>
      </w:r>
      <w:bookmarkEnd w:id="3"/>
      <w:r>
        <w:rPr>
          <w:rFonts w:hint="eastAsia" w:ascii="宋体" w:hAnsi="宋体" w:cs="宋体"/>
          <w:color w:val="auto"/>
          <w:szCs w:val="21"/>
          <w:highlight w:val="none"/>
        </w:rPr>
        <w:t>2013《低压成套开关设备和控制设备第1部分：总则》</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GB7251.2-2006《低压成套开关设备和控制设备第2部分：对母线干线系统（母线槽）的特殊要求》</w:t>
      </w:r>
    </w:p>
    <w:p>
      <w:pPr>
        <w:numPr>
          <w:ilvl w:val="0"/>
          <w:numId w:val="3"/>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GB/T5585.1-2005《电工用铜、铝及其合金母线第一部分：一般规定》</w:t>
      </w:r>
    </w:p>
    <w:p>
      <w:pPr>
        <w:pStyle w:val="6"/>
        <w:tabs>
          <w:tab w:val="left" w:pos="545"/>
        </w:tabs>
        <w:spacing w:before="64" w:line="360" w:lineRule="auto"/>
        <w:outlineLvl w:val="1"/>
        <w:rPr>
          <w:rFonts w:hint="eastAsia" w:ascii="宋体" w:hAnsi="宋体" w:cs="宋体"/>
          <w:b/>
          <w:color w:val="auto"/>
          <w:szCs w:val="21"/>
          <w:highlight w:val="none"/>
        </w:rPr>
      </w:pPr>
      <w:bookmarkStart w:id="4" w:name="_Toc1148"/>
      <w:r>
        <w:rPr>
          <w:rFonts w:hint="eastAsia" w:ascii="宋体" w:hAnsi="宋体" w:cs="宋体"/>
          <w:b/>
          <w:color w:val="auto"/>
          <w:szCs w:val="21"/>
          <w:highlight w:val="none"/>
        </w:rPr>
        <w:t>1.3技术要求</w:t>
      </w:r>
      <w:bookmarkEnd w:id="4"/>
    </w:p>
    <w:p>
      <w:pPr>
        <w:pStyle w:val="6"/>
        <w:tabs>
          <w:tab w:val="left" w:pos="545"/>
        </w:tabs>
        <w:spacing w:before="64"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1.3.1基本技术参数及要求</w:t>
      </w:r>
    </w:p>
    <w:p>
      <w:pPr>
        <w:numPr>
          <w:ilvl w:val="0"/>
          <w:numId w:val="4"/>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配电系统接地方式：          TN-S（三相四线制）</w:t>
      </w:r>
    </w:p>
    <w:p>
      <w:pPr>
        <w:numPr>
          <w:ilvl w:val="0"/>
          <w:numId w:val="4"/>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额定工作电压：              400V至690VAC</w:t>
      </w:r>
    </w:p>
    <w:p>
      <w:pPr>
        <w:numPr>
          <w:ilvl w:val="0"/>
          <w:numId w:val="4"/>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额定绝缘电压：              至1000VAC/1200VDC</w:t>
      </w:r>
    </w:p>
    <w:p>
      <w:pPr>
        <w:numPr>
          <w:ilvl w:val="0"/>
          <w:numId w:val="4"/>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额定频率：                  50H</w:t>
      </w:r>
      <w:r>
        <w:rPr>
          <w:rFonts w:ascii="宋体" w:hAnsi="宋体" w:cs="宋体"/>
          <w:color w:val="auto"/>
          <w:szCs w:val="21"/>
          <w:highlight w:val="none"/>
        </w:rPr>
        <w:t>z</w:t>
      </w:r>
    </w:p>
    <w:p>
      <w:pPr>
        <w:numPr>
          <w:ilvl w:val="0"/>
          <w:numId w:val="4"/>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额定冲击耐受电压峰值：      8</w:t>
      </w:r>
      <w:r>
        <w:rPr>
          <w:rFonts w:ascii="宋体" w:hAnsi="宋体" w:cs="宋体"/>
          <w:color w:val="auto"/>
          <w:szCs w:val="21"/>
          <w:highlight w:val="none"/>
        </w:rPr>
        <w:t>k</w:t>
      </w:r>
      <w:r>
        <w:rPr>
          <w:rFonts w:hint="eastAsia" w:ascii="宋体" w:hAnsi="宋体" w:cs="宋体"/>
          <w:color w:val="auto"/>
          <w:szCs w:val="21"/>
          <w:highlight w:val="none"/>
        </w:rPr>
        <w:t>V</w:t>
      </w:r>
    </w:p>
    <w:p>
      <w:pPr>
        <w:numPr>
          <w:ilvl w:val="0"/>
          <w:numId w:val="4"/>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工频试验电压（有效值）：     3000V/1分钟</w:t>
      </w:r>
    </w:p>
    <w:p>
      <w:pPr>
        <w:numPr>
          <w:ilvl w:val="0"/>
          <w:numId w:val="4"/>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 xml:space="preserve">水平母线最大电流:           6300、5000A、4000A（以图纸为准）. </w:t>
      </w:r>
    </w:p>
    <w:p>
      <w:pPr>
        <w:numPr>
          <w:ilvl w:val="0"/>
          <w:numId w:val="4"/>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 xml:space="preserve">垂直母线最大电流：          2000A、1600（以图纸为准） </w:t>
      </w:r>
    </w:p>
    <w:p>
      <w:pPr>
        <w:numPr>
          <w:ilvl w:val="0"/>
          <w:numId w:val="4"/>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额定分散系数：              0.6</w:t>
      </w:r>
      <w:r>
        <w:rPr>
          <w:rFonts w:hint="eastAsia" w:ascii="宋体" w:hAnsi="宋体" w:cs="宋体"/>
          <w:color w:val="auto"/>
          <w:szCs w:val="21"/>
          <w:highlight w:val="none"/>
        </w:rPr>
        <w:sym w:font="Symbol" w:char="F07E"/>
      </w:r>
      <w:r>
        <w:rPr>
          <w:rFonts w:hint="eastAsia" w:ascii="宋体" w:hAnsi="宋体" w:cs="宋体"/>
          <w:color w:val="auto"/>
          <w:szCs w:val="21"/>
          <w:highlight w:val="none"/>
        </w:rPr>
        <w:t>0.85</w:t>
      </w:r>
    </w:p>
    <w:p>
      <w:pPr>
        <w:numPr>
          <w:ilvl w:val="0"/>
          <w:numId w:val="4"/>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防护等级:                   IP41</w:t>
      </w:r>
    </w:p>
    <w:p>
      <w:pPr>
        <w:numPr>
          <w:ilvl w:val="0"/>
          <w:numId w:val="4"/>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表面处理:                   静电喷涂</w:t>
      </w:r>
    </w:p>
    <w:p>
      <w:pPr>
        <w:numPr>
          <w:ilvl w:val="0"/>
          <w:numId w:val="4"/>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塑料零件：                  无卤素，自熄灭，不含CPE</w:t>
      </w:r>
    </w:p>
    <w:p>
      <w:pPr>
        <w:numPr>
          <w:ilvl w:val="0"/>
          <w:numId w:val="4"/>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柜体颜色:                  由业主主指定饰面颜色</w:t>
      </w:r>
    </w:p>
    <w:p>
      <w:pPr>
        <w:numPr>
          <w:ilvl w:val="0"/>
          <w:numId w:val="4"/>
        </w:numPr>
        <w:tabs>
          <w:tab w:val="left" w:pos="420"/>
        </w:tabs>
        <w:spacing w:line="360" w:lineRule="auto"/>
        <w:ind w:left="851" w:hanging="431"/>
        <w:rPr>
          <w:rFonts w:ascii="宋体" w:hAnsi="宋体" w:cs="宋体"/>
          <w:color w:val="auto"/>
          <w:szCs w:val="21"/>
          <w:highlight w:val="none"/>
        </w:rPr>
      </w:pPr>
      <w:r>
        <w:rPr>
          <w:rFonts w:hint="eastAsia" w:ascii="宋体" w:hAnsi="宋体" w:cs="宋体"/>
          <w:color w:val="auto"/>
          <w:szCs w:val="21"/>
          <w:highlight w:val="none"/>
        </w:rPr>
        <w:t>隔离形式:                  Form4</w:t>
      </w:r>
    </w:p>
    <w:p>
      <w:pPr>
        <w:numPr>
          <w:ilvl w:val="0"/>
          <w:numId w:val="4"/>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低压配电柜外形尺寸:        最大外形尺寸不应超过图纸标注尺寸</w:t>
      </w:r>
    </w:p>
    <w:p>
      <w:pPr>
        <w:pStyle w:val="6"/>
        <w:tabs>
          <w:tab w:val="left" w:pos="545"/>
        </w:tabs>
        <w:spacing w:before="64"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1.3.2电气设备回路电压</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1.3.2.1 电气设备控制，保护，信号回路电压DC220V。在上述数值的80%</w:t>
      </w:r>
      <w:r>
        <w:rPr>
          <w:rFonts w:hint="eastAsia" w:ascii="宋体" w:hAnsi="宋体" w:cs="宋体"/>
          <w:color w:val="auto"/>
          <w:szCs w:val="21"/>
          <w:highlight w:val="none"/>
        </w:rPr>
        <w:sym w:font="Symbol" w:char="F07E"/>
      </w:r>
      <w:r>
        <w:rPr>
          <w:rFonts w:hint="eastAsia" w:ascii="宋体" w:hAnsi="宋体" w:cs="宋体"/>
          <w:color w:val="auto"/>
          <w:szCs w:val="21"/>
          <w:highlight w:val="none"/>
        </w:rPr>
        <w:t>120%范围内，各种电气设备动作准确可靠。</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1.3.2.2断路器的合闸电压在上述数值的85%</w:t>
      </w:r>
      <w:r>
        <w:rPr>
          <w:rFonts w:hint="eastAsia" w:ascii="宋体" w:hAnsi="宋体" w:cs="宋体"/>
          <w:color w:val="auto"/>
          <w:szCs w:val="21"/>
          <w:highlight w:val="none"/>
        </w:rPr>
        <w:sym w:font="Symbol" w:char="F07E"/>
      </w:r>
      <w:r>
        <w:rPr>
          <w:rFonts w:hint="eastAsia" w:ascii="宋体" w:hAnsi="宋体" w:cs="宋体"/>
          <w:color w:val="auto"/>
          <w:szCs w:val="21"/>
          <w:highlight w:val="none"/>
        </w:rPr>
        <w:t>110%范围内能关合额定关合。在上述数值的75%</w:t>
      </w:r>
      <w:r>
        <w:rPr>
          <w:rFonts w:hint="eastAsia" w:ascii="宋体" w:hAnsi="宋体" w:cs="宋体"/>
          <w:color w:val="auto"/>
          <w:szCs w:val="21"/>
          <w:highlight w:val="none"/>
        </w:rPr>
        <w:sym w:font="Symbol" w:char="F07E"/>
      </w:r>
      <w:r>
        <w:rPr>
          <w:rFonts w:hint="eastAsia" w:ascii="宋体" w:hAnsi="宋体" w:cs="宋体"/>
          <w:color w:val="auto"/>
          <w:szCs w:val="21"/>
          <w:highlight w:val="none"/>
        </w:rPr>
        <w:t>110%范围内能在无负荷情况下关合.</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1.3.2.3断路器的跳闸电压在上述数值的70%</w:t>
      </w:r>
      <w:r>
        <w:rPr>
          <w:rFonts w:hint="eastAsia" w:ascii="宋体" w:hAnsi="宋体" w:cs="宋体"/>
          <w:color w:val="auto"/>
          <w:szCs w:val="21"/>
          <w:highlight w:val="none"/>
        </w:rPr>
        <w:sym w:font="Symbol" w:char="F07E"/>
      </w:r>
      <w:r>
        <w:rPr>
          <w:rFonts w:hint="eastAsia" w:ascii="宋体" w:hAnsi="宋体" w:cs="宋体"/>
          <w:color w:val="auto"/>
          <w:szCs w:val="21"/>
          <w:highlight w:val="none"/>
        </w:rPr>
        <w:t>110%范围内能可靠地分闸。</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1.3.2.4所有电子设备和继电器在高次谐波电压畸变率不大于8%的条件下能正常运行。</w:t>
      </w:r>
    </w:p>
    <w:p>
      <w:pPr>
        <w:pStyle w:val="6"/>
        <w:tabs>
          <w:tab w:val="left" w:pos="545"/>
        </w:tabs>
        <w:spacing w:before="64"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1.3.3技术性能</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1.3.3.1 电气间隙</w:t>
      </w:r>
    </w:p>
    <w:p>
      <w:pPr>
        <w:numPr>
          <w:ilvl w:val="0"/>
          <w:numId w:val="5"/>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电气间隙：10mm(主母线≥20mm)</w:t>
      </w:r>
    </w:p>
    <w:p>
      <w:pPr>
        <w:numPr>
          <w:ilvl w:val="0"/>
          <w:numId w:val="5"/>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爬电距离：12mm(主母线≥20mm)</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1.3.3.2 间隔距离：符合JB4012-85《低压空气式隔离器开关、隔离开关及熔断器组合电源》的有关要求，同时应考虑到制造公差和由于磨损而造成的尺寸变化.</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1.3.3.3 温升：符合IEC947-1有关温升的规定</w:t>
      </w:r>
    </w:p>
    <w:p>
      <w:pPr>
        <w:numPr>
          <w:ilvl w:val="0"/>
          <w:numId w:val="6"/>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连接外部绝缘导线的端子：</w:t>
      </w:r>
      <w:r>
        <w:rPr>
          <w:rFonts w:hint="eastAsia" w:ascii="宋体" w:hAnsi="宋体" w:cs="宋体"/>
          <w:color w:val="auto"/>
          <w:szCs w:val="21"/>
          <w:highlight w:val="none"/>
        </w:rPr>
        <w:tab/>
      </w:r>
      <w:r>
        <w:rPr>
          <w:rFonts w:hint="eastAsia" w:ascii="宋体" w:hAnsi="宋体" w:cs="宋体"/>
          <w:color w:val="auto"/>
          <w:szCs w:val="21"/>
          <w:highlight w:val="none"/>
        </w:rPr>
        <w:tab/>
      </w:r>
      <w:r>
        <w:rPr>
          <w:rFonts w:hint="eastAsia" w:ascii="宋体" w:hAnsi="宋体" w:cs="宋体"/>
          <w:color w:val="auto"/>
          <w:szCs w:val="21"/>
          <w:highlight w:val="none"/>
        </w:rPr>
        <w:t>不大于70K</w:t>
      </w:r>
    </w:p>
    <w:p>
      <w:pPr>
        <w:numPr>
          <w:ilvl w:val="0"/>
          <w:numId w:val="6"/>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母线固定连接处（铜-铜）：</w:t>
      </w:r>
      <w:r>
        <w:rPr>
          <w:rFonts w:hint="eastAsia" w:ascii="宋体" w:hAnsi="宋体" w:cs="宋体"/>
          <w:color w:val="auto"/>
          <w:szCs w:val="21"/>
          <w:highlight w:val="none"/>
        </w:rPr>
        <w:tab/>
      </w:r>
      <w:r>
        <w:rPr>
          <w:rFonts w:hint="eastAsia" w:ascii="宋体" w:hAnsi="宋体" w:cs="宋体"/>
          <w:color w:val="auto"/>
          <w:szCs w:val="21"/>
          <w:highlight w:val="none"/>
        </w:rPr>
        <w:tab/>
      </w:r>
      <w:r>
        <w:rPr>
          <w:rFonts w:hint="eastAsia" w:ascii="宋体" w:hAnsi="宋体" w:cs="宋体"/>
          <w:color w:val="auto"/>
          <w:szCs w:val="21"/>
          <w:highlight w:val="none"/>
        </w:rPr>
        <w:t>不大于50K</w:t>
      </w:r>
    </w:p>
    <w:p>
      <w:pPr>
        <w:numPr>
          <w:ilvl w:val="0"/>
          <w:numId w:val="6"/>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操作手柄，金属的不大于15K，绝缘材料的不大于25K。</w:t>
      </w:r>
    </w:p>
    <w:p>
      <w:pPr>
        <w:numPr>
          <w:ilvl w:val="0"/>
          <w:numId w:val="6"/>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可接触的外壳和覆板，金属表面不大于30K，绝缘表面不大于40K。</w:t>
      </w:r>
    </w:p>
    <w:p>
      <w:pPr>
        <w:pStyle w:val="6"/>
        <w:tabs>
          <w:tab w:val="left" w:pos="545"/>
        </w:tabs>
        <w:spacing w:before="64"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1.3.4低压开关柜基本结构</w:t>
      </w:r>
    </w:p>
    <w:p>
      <w:pPr>
        <w:pStyle w:val="6"/>
        <w:tabs>
          <w:tab w:val="left" w:pos="545"/>
        </w:tabs>
        <w:spacing w:before="64"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低压开关柜应为抽屉式或固定式结构，柜体做成易于调运及易于铲入底部运输的形式。</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1.3.4.1 低压开关柜框架结构</w:t>
      </w:r>
    </w:p>
    <w:p>
      <w:pPr>
        <w:numPr>
          <w:ilvl w:val="0"/>
          <w:numId w:val="7"/>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开关柜结构采用模数化组合的装配式结构，垂直骨架一次拉伸成型，保证柜体结构具有良好的机械强度,，柜体采用高质素的覆铝锌板（不小于2mm），外壳采用高质量的冷扎钢板，柜体的全部金属结构件都需经过防腐处理；，再按方案变化需要，组成一台完整的装置。</w:t>
      </w:r>
    </w:p>
    <w:p>
      <w:pPr>
        <w:numPr>
          <w:ilvl w:val="0"/>
          <w:numId w:val="7"/>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框架为C型敷铝锌板骨架，采用柔性生产线加工，通过自攻螺丝或8.8级螺丝互相连接成基本骨架，骨架板材厚度不小于2.5mm,其基本零件均带有25mm间隔的模数孔，所有框架零件均为免维修型。</w:t>
      </w:r>
    </w:p>
    <w:p>
      <w:pPr>
        <w:numPr>
          <w:ilvl w:val="0"/>
          <w:numId w:val="7"/>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设备的有效安装高度不小于1800mm。</w:t>
      </w:r>
    </w:p>
    <w:p>
      <w:pPr>
        <w:numPr>
          <w:ilvl w:val="0"/>
          <w:numId w:val="7"/>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开关柜应有足够的机械强度，以保证元件安装后及操作时无摇晃、不变形。</w:t>
      </w:r>
    </w:p>
    <w:p>
      <w:pPr>
        <w:numPr>
          <w:ilvl w:val="0"/>
          <w:numId w:val="7"/>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开关柜内的每个柜体分隔为三室，即水平母线隔室，功能单元隔室及电缆室，室与室之间用钢板或高强度阻燃环保塑料功能板相互隔开（提供国家防火实验报告）；</w:t>
      </w:r>
    </w:p>
    <w:p>
      <w:pPr>
        <w:numPr>
          <w:ilvl w:val="0"/>
          <w:numId w:val="7"/>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每个功能单元应使用绝缘塑料隔板实现进线与出线之间，相序之间，一次与二次之间的隔离功能，当回路发生短路故障时，防止电弧的传播，确保断路器在短路分断时，不影响相临隔室的功能单元的正常工作。开关柜内部分隔形式必须达到GB7251.1中Form-4A或4B的要求。</w:t>
      </w:r>
    </w:p>
    <w:p>
      <w:pPr>
        <w:numPr>
          <w:ilvl w:val="0"/>
          <w:numId w:val="7"/>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低压开关柜内零部件尺寸、隔室尺寸，均实行模数化。</w:t>
      </w:r>
    </w:p>
    <w:p>
      <w:pPr>
        <w:numPr>
          <w:ilvl w:val="0"/>
          <w:numId w:val="7"/>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低压开关柜的结构设计应满足受建筑布置、使用环境及及其它因素影响对柜体的特殊要求。</w:t>
      </w:r>
    </w:p>
    <w:p>
      <w:pPr>
        <w:numPr>
          <w:ilvl w:val="0"/>
          <w:numId w:val="7"/>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开关柜的进出线可采用电缆或封闭母线槽,出线方式和位置应可根据现场进行适当调整。</w:t>
      </w:r>
    </w:p>
    <w:p>
      <w:pPr>
        <w:numPr>
          <w:ilvl w:val="0"/>
          <w:numId w:val="7"/>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变电所内低压开关柜采用插入式、抽出式开关，任何情况下一台开关故障或检修，均不得对柜内其它回路产生影响；低压开关柜体应选用高寿命的一次插接件（提供试验报告），同时也要保证良好的互换性和快速安装。</w:t>
      </w:r>
    </w:p>
    <w:p>
      <w:pPr>
        <w:numPr>
          <w:ilvl w:val="0"/>
          <w:numId w:val="7"/>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抽屉单元带有导轨和推进机构，设有合闸、分闸,试验,抽出和隔离位置，且一、二次接插件均有定位机构。同类型抽屉具有互换性，一旦发生故障，可以在系统供电情况下更换故障开关，迅速恢复供电。</w:t>
      </w:r>
    </w:p>
    <w:p>
      <w:pPr>
        <w:numPr>
          <w:ilvl w:val="0"/>
          <w:numId w:val="7"/>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功能单元有可靠的机械联锁，通过操作手柄控制，具有明显的运行、试验、抽出位置，并配有相应的符号标志，为加强安全防范，操作手柄定位后可加挂锁。建议操作手柄与开关采用同一厂家产品（原装配套）。</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1.3.4.2 低压柜门板和侧板</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 xml:space="preserve">低压柜门板和侧板柜体门板表面经静电粉末喷沫，喷涂层不小于40微米，喷涂前应进行除油、除锈或磷化处理，涂层颜色待定。柜体颜色为RAL7032。    </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1.3.4.3 绝缘分隔板:</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在抽出式开关柜或抽出式和固定式混装的柜中，分支母线安装在绝缘材料制成的绝缘板中,同母线在一起,不加隔板就能达到(IP20)抗冲击的防护等级。敞开式结构的,柜中最多可安装双母线系统。多功能分隔板有抗故障电弧的性能，并作为装置小室和母线小室之间的隔离。</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1.3.4.4 抽屉组件结构</w:t>
      </w:r>
    </w:p>
    <w:p>
      <w:p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1.3.4.4.1抽出组件的结构标准模数E=25mm,抽出式组件有组件本身和组件安装小室组成,标准规格有4E，8E/4,8E/2,8E,12E，16E，24E和32E.。四个8E/4或二个8E/2组件可水平布置在600mm宽的装置小室内,组件高为8E=200mm。操作手柄上可给主开关分闸,试验,隔离三位置加挂锁,作为安全保护,最多可加3把挂锁。对于8E,16E和24E组件,单个组件就需要600mm宽的装置小室,组件所需的高度就是组件规格所指的尺寸。前门开孔用于仪表板的布置。仪表板设有敲落孔，用于安装计量操作和指示器件。操作手柄具有电气和机械联锁功能。组件操作手柄位置说明:</w:t>
      </w:r>
    </w:p>
    <w:p>
      <w:pPr>
        <w:numPr>
          <w:ilvl w:val="0"/>
          <w:numId w:val="8"/>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工作位置----组件锁定,主开关合闸,控制回路接通。</w:t>
      </w:r>
    </w:p>
    <w:p>
      <w:pPr>
        <w:numPr>
          <w:ilvl w:val="0"/>
          <w:numId w:val="8"/>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主开关分闸--组件锁定,主开关分闸,控制回路断开。</w:t>
      </w:r>
    </w:p>
    <w:p>
      <w:pPr>
        <w:numPr>
          <w:ilvl w:val="0"/>
          <w:numId w:val="8"/>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试验位置----主开关分闸,控制回路仍接通,组件锁定，可加3把锁</w:t>
      </w:r>
    </w:p>
    <w:p>
      <w:pPr>
        <w:numPr>
          <w:ilvl w:val="0"/>
          <w:numId w:val="8"/>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抽出位置----主回路和控制回路均断开</w:t>
      </w:r>
    </w:p>
    <w:p>
      <w:pPr>
        <w:numPr>
          <w:ilvl w:val="0"/>
          <w:numId w:val="8"/>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隔离位置----组件抽出30mm距离,主回路和控制回路均断开,组件锁定完隔离，可加3把锁。</w:t>
      </w:r>
    </w:p>
    <w:p>
      <w:p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1.3.4.4.2对于每个馈电单元的抽屉，只有在开关处于断开状态下才能移动抽屉。当特殊需要时，抽屉单元可通过小孔来解锁机构，以便断路器处于接也能将门打开。所有同一规格的抽屉需可互换。</w:t>
      </w:r>
    </w:p>
    <w:p>
      <w:pPr>
        <w:spacing w:line="360" w:lineRule="auto"/>
        <w:ind w:left="424" w:leftChars="202" w:firstLine="1"/>
        <w:rPr>
          <w:rFonts w:hint="eastAsia" w:ascii="宋体" w:hAnsi="宋体" w:cs="宋体"/>
          <w:color w:val="auto"/>
          <w:szCs w:val="21"/>
          <w:highlight w:val="none"/>
        </w:rPr>
      </w:pPr>
      <w:r>
        <w:rPr>
          <w:rFonts w:hint="eastAsia" w:ascii="宋体" w:hAnsi="宋体" w:cs="宋体"/>
          <w:color w:val="auto"/>
          <w:szCs w:val="21"/>
          <w:highlight w:val="none"/>
        </w:rPr>
        <w:t>1.3.4.4.3抽屉单元带有导轨和推进机构，一，二次接插件应有导入对准机构，请详细说明机构原理。</w:t>
      </w:r>
    </w:p>
    <w:p>
      <w:pPr>
        <w:spacing w:line="360" w:lineRule="auto"/>
        <w:ind w:left="424" w:leftChars="202" w:firstLine="2"/>
        <w:rPr>
          <w:rFonts w:hint="eastAsia" w:ascii="宋体" w:hAnsi="宋体" w:cs="宋体"/>
          <w:color w:val="auto"/>
          <w:szCs w:val="21"/>
          <w:highlight w:val="none"/>
        </w:rPr>
      </w:pPr>
      <w:r>
        <w:rPr>
          <w:rFonts w:hint="eastAsia" w:ascii="宋体" w:hAnsi="宋体" w:cs="宋体"/>
          <w:color w:val="auto"/>
          <w:szCs w:val="21"/>
          <w:highlight w:val="none"/>
        </w:rPr>
        <w:t>1.3.4.4.4同类型抽屉具有互换性，一旦发生故障，可以在系统供电情况下更换故障开关，迅速恢复供电。</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1.3.4.5.固定式设计</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1.3.4.5.1固定式开关柜的基本零件为铝合金安装板和道轨。垂直道轨用于组件与框架的固定。安装板和道轨可组成不同高度的组件。组件高度按装置和额定容量大小而定。固定式组件安装在600mm宽的装置小室中，用插入式接头与分支母线相接。标准的固定式组件包括有安装板、分支母线连接触头和进线电缆端子三种零件。</w:t>
      </w:r>
    </w:p>
    <w:p>
      <w:pPr>
        <w:spacing w:line="360" w:lineRule="auto"/>
        <w:ind w:left="545" w:leftChars="202" w:hanging="121" w:hangingChars="58"/>
        <w:rPr>
          <w:rFonts w:hint="eastAsia" w:ascii="宋体" w:hAnsi="宋体" w:cs="宋体"/>
          <w:color w:val="auto"/>
          <w:szCs w:val="21"/>
          <w:highlight w:val="none"/>
        </w:rPr>
      </w:pPr>
      <w:r>
        <w:rPr>
          <w:rFonts w:hint="eastAsia" w:ascii="宋体" w:hAnsi="宋体" w:cs="宋体"/>
          <w:color w:val="auto"/>
          <w:szCs w:val="21"/>
          <w:highlight w:val="none"/>
        </w:rPr>
        <w:t>1.3.4.5.2固定式组件可与前方的指示、计量、信号和操作装置相连。</w:t>
      </w:r>
    </w:p>
    <w:p>
      <w:pPr>
        <w:spacing w:line="360" w:lineRule="auto"/>
        <w:ind w:left="424"/>
        <w:rPr>
          <w:rFonts w:hint="eastAsia" w:ascii="宋体" w:hAnsi="宋体" w:cs="宋体"/>
          <w:color w:val="auto"/>
          <w:szCs w:val="21"/>
          <w:highlight w:val="none"/>
        </w:rPr>
      </w:pPr>
      <w:r>
        <w:rPr>
          <w:rFonts w:hint="eastAsia" w:ascii="宋体" w:hAnsi="宋体" w:cs="宋体"/>
          <w:color w:val="auto"/>
          <w:szCs w:val="21"/>
          <w:highlight w:val="none"/>
        </w:rPr>
        <w:t>1.3.4.5.3 630A以内的连接可用插入式的连接方式（不必用螺丝）。</w:t>
      </w:r>
    </w:p>
    <w:p>
      <w:pPr>
        <w:pStyle w:val="6"/>
        <w:tabs>
          <w:tab w:val="left" w:pos="545"/>
        </w:tabs>
        <w:spacing w:before="64"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1.3.5柜内母线及绝缘导线</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1.3.5.1低压开关柜内的主母线和配电母线均为五母线，材料应选用铜材料做成，其相对导电率不小于99%。每一排柜的水平母线需延伸至最末端柜内，以利于日后运营改造。</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1.3.5.2低压开关柜内母线和绝缘导线截面积的选择由柜厂负责，导线应为不燃型产品，除了必须承载的电流外，还应满足低压开关柜所承受的动稳定和热稳定要求、敷设方法、绝缘类型以及所连接的元件种类等因素的要求。</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1.3.5.3母线采用绝缘支持件进行固定以保证母线与其它部件之间的距离不变。母线支持件应能承受装置的额定短时耐受电流和额定峰值耐受电流所产生的机械应力和热应力的冲击。</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1.3.5.4母线之间的连接要保证有足够和持久的接触压力，但不应使母线产生永久变形。</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1.3.5.5柜内所用的绝缘导线应为不燃型耐热铜质多股绞线，柜内一般配线应用1.5mm</w:t>
      </w:r>
      <w:r>
        <w:rPr>
          <w:rFonts w:hint="eastAsia" w:ascii="宋体" w:hAnsi="宋体" w:cs="宋体"/>
          <w:color w:val="auto"/>
          <w:szCs w:val="21"/>
          <w:highlight w:val="none"/>
          <w:vertAlign w:val="superscript"/>
        </w:rPr>
        <w:t>2</w:t>
      </w:r>
      <w:r>
        <w:rPr>
          <w:rFonts w:hint="eastAsia" w:ascii="宋体" w:hAnsi="宋体" w:cs="宋体"/>
          <w:color w:val="auto"/>
          <w:szCs w:val="21"/>
          <w:highlight w:val="none"/>
        </w:rPr>
        <w:t>以上的绝缘导线（电流回路为2.5mm</w:t>
      </w:r>
      <w:r>
        <w:rPr>
          <w:rFonts w:hint="eastAsia" w:ascii="宋体" w:hAnsi="宋体" w:cs="宋体"/>
          <w:color w:val="auto"/>
          <w:szCs w:val="21"/>
          <w:highlight w:val="none"/>
          <w:vertAlign w:val="superscript"/>
        </w:rPr>
        <w:t>2</w:t>
      </w:r>
      <w:r>
        <w:rPr>
          <w:rFonts w:hint="eastAsia" w:ascii="宋体" w:hAnsi="宋体" w:cs="宋体"/>
          <w:color w:val="auto"/>
          <w:szCs w:val="21"/>
          <w:highlight w:val="none"/>
        </w:rPr>
        <w:t>以上），可动部分的过渡应柔软，并能承受住挠曲而不致疲劳损坏。绝缘导线的额定电压至少应同相应电路的额定绝缘电压相一致，绝缘导线不应支靠在不同电位的裸带电部件和带有尖角的边缘上，应使用线夹固定在骨架或支架上，最好敷设在引线槽内。</w:t>
      </w:r>
    </w:p>
    <w:p>
      <w:pPr>
        <w:spacing w:line="360" w:lineRule="auto"/>
        <w:ind w:firstLine="420" w:firstLineChars="200"/>
        <w:rPr>
          <w:rFonts w:hint="eastAsia" w:ascii="宋体" w:hAnsi="宋体" w:cs="宋体"/>
          <w:color w:val="auto"/>
          <w:szCs w:val="21"/>
          <w:highlight w:val="none"/>
        </w:rPr>
      </w:pPr>
      <w:bookmarkStart w:id="5" w:name="_Toc490890450"/>
      <w:bookmarkStart w:id="6" w:name="_Toc491225929"/>
      <w:bookmarkStart w:id="7" w:name="_Toc179886940"/>
      <w:bookmarkStart w:id="8" w:name="_Toc486685408"/>
      <w:bookmarkStart w:id="9" w:name="_Toc491226077"/>
      <w:bookmarkStart w:id="10" w:name="_Toc179885306"/>
      <w:bookmarkStart w:id="11" w:name="_Toc486684957"/>
      <w:r>
        <w:rPr>
          <w:rFonts w:hint="eastAsia" w:ascii="宋体" w:hAnsi="宋体" w:cs="宋体"/>
          <w:color w:val="auto"/>
          <w:szCs w:val="21"/>
          <w:highlight w:val="none"/>
        </w:rPr>
        <w:t>1.3.5.6柜门、喷漆及颜色</w:t>
      </w:r>
      <w:bookmarkEnd w:id="5"/>
      <w:bookmarkEnd w:id="6"/>
      <w:bookmarkEnd w:id="7"/>
      <w:bookmarkEnd w:id="8"/>
      <w:bookmarkEnd w:id="9"/>
      <w:bookmarkEnd w:id="10"/>
      <w:bookmarkEnd w:id="11"/>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柜门应开启灵活、开启角度不小于120°。紧固连接应牢固、可靠，所有紧固件均具有防腐镀层或涂层，紧固连接有防松脱措施。</w:t>
      </w:r>
    </w:p>
    <w:p>
      <w:pPr>
        <w:spacing w:line="360" w:lineRule="auto"/>
        <w:ind w:firstLine="420" w:firstLineChars="200"/>
        <w:rPr>
          <w:rFonts w:hint="eastAsia" w:ascii="宋体" w:hAnsi="宋体" w:cs="宋体"/>
          <w:color w:val="auto"/>
          <w:szCs w:val="21"/>
          <w:highlight w:val="none"/>
        </w:rPr>
      </w:pPr>
      <w:bookmarkStart w:id="12" w:name="_Toc179886941"/>
      <w:bookmarkStart w:id="13" w:name="_Toc179885307"/>
      <w:bookmarkStart w:id="14" w:name="_Toc491226078"/>
      <w:bookmarkStart w:id="15" w:name="_Toc486685409"/>
      <w:bookmarkStart w:id="16" w:name="_Toc490890451"/>
      <w:bookmarkStart w:id="17" w:name="_Toc486684958"/>
      <w:bookmarkStart w:id="18" w:name="_Toc470404562"/>
      <w:bookmarkStart w:id="19" w:name="_Toc491225930"/>
      <w:r>
        <w:rPr>
          <w:rFonts w:hint="eastAsia" w:ascii="宋体" w:hAnsi="宋体" w:cs="宋体"/>
          <w:color w:val="auto"/>
          <w:szCs w:val="21"/>
          <w:highlight w:val="none"/>
        </w:rPr>
        <w:t>1.3.5.7柜内母线和导线的颜色和排列</w:t>
      </w:r>
      <w:bookmarkEnd w:id="12"/>
      <w:bookmarkEnd w:id="13"/>
      <w:bookmarkEnd w:id="14"/>
      <w:bookmarkEnd w:id="15"/>
      <w:bookmarkEnd w:id="16"/>
      <w:bookmarkEnd w:id="17"/>
      <w:bookmarkEnd w:id="18"/>
      <w:bookmarkEnd w:id="19"/>
    </w:p>
    <w:p>
      <w:pPr>
        <w:spacing w:line="360" w:lineRule="auto"/>
        <w:ind w:firstLine="420" w:firstLineChars="200"/>
        <w:rPr>
          <w:rFonts w:hint="eastAsia" w:ascii="宋体" w:hAnsi="宋体" w:cs="宋体"/>
          <w:b/>
          <w:color w:val="auto"/>
          <w:szCs w:val="21"/>
          <w:highlight w:val="none"/>
        </w:rPr>
      </w:pPr>
      <w:r>
        <w:rPr>
          <w:rFonts w:hint="eastAsia" w:ascii="宋体" w:hAnsi="宋体" w:cs="宋体"/>
          <w:color w:val="auto"/>
          <w:szCs w:val="21"/>
          <w:highlight w:val="none"/>
        </w:rPr>
        <w:t>1.3.5.7.1柜内母线和导线的颜色应符合GB/T13534-2009《颜色标志的代码的规定》的规定。柜内保护导体的颜色必须采用黄绿双色。当保护导体是绝缘的单芯导线时，也应采用这种颜色并且最好贯穿导线的全长。黄绿双色导线除作保护导体的识别颜色外不允许有任何其它用途。</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1.3.5.7.2外部保护导体的接线端应标上接地符号，但是当外部保护导体与能明显识别的带有黄绿双色的内部保护导体连接时，不要求用此符号。</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1.3.5.7.3柜内母线的相序排列从装置正面观察应符合下表的排列。</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5"/>
        <w:gridCol w:w="1640"/>
        <w:gridCol w:w="1801"/>
        <w:gridCol w:w="1802"/>
        <w:gridCol w:w="18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2585" w:type="dxa"/>
            <w:gridSpan w:val="2"/>
            <w:tcBorders>
              <w:top w:val="double" w:color="auto" w:sz="4" w:space="0"/>
              <w:left w:val="double" w:color="auto" w:sz="4" w:space="0"/>
            </w:tcBorders>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类别</w:t>
            </w:r>
          </w:p>
        </w:tc>
        <w:tc>
          <w:tcPr>
            <w:tcW w:w="1801" w:type="dxa"/>
            <w:tcBorders>
              <w:top w:val="double" w:color="auto" w:sz="4" w:space="0"/>
            </w:tcBorders>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垂直排列</w:t>
            </w:r>
          </w:p>
        </w:tc>
        <w:tc>
          <w:tcPr>
            <w:tcW w:w="1802" w:type="dxa"/>
            <w:tcBorders>
              <w:top w:val="double" w:color="auto" w:sz="4" w:space="0"/>
            </w:tcBorders>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水平排列</w:t>
            </w:r>
          </w:p>
        </w:tc>
        <w:tc>
          <w:tcPr>
            <w:tcW w:w="1802" w:type="dxa"/>
            <w:tcBorders>
              <w:top w:val="double" w:color="auto" w:sz="4" w:space="0"/>
              <w:right w:val="double" w:color="auto" w:sz="4" w:space="0"/>
            </w:tcBorders>
            <w:vAlign w:val="center"/>
          </w:tcPr>
          <w:p>
            <w:pPr>
              <w:spacing w:line="360" w:lineRule="auto"/>
              <w:ind w:left="360"/>
              <w:rPr>
                <w:rFonts w:hint="eastAsia" w:ascii="宋体" w:hAnsi="宋体" w:cs="宋体"/>
                <w:color w:val="auto"/>
                <w:szCs w:val="21"/>
                <w:highlight w:val="none"/>
              </w:rPr>
            </w:pPr>
            <w:r>
              <w:rPr>
                <w:rFonts w:hint="eastAsia" w:ascii="宋体" w:hAnsi="宋体" w:cs="宋体"/>
                <w:color w:val="auto"/>
                <w:szCs w:val="21"/>
                <w:highlight w:val="none"/>
              </w:rPr>
              <w:t>前后排列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945" w:type="dxa"/>
            <w:vMerge w:val="restart"/>
            <w:tcBorders>
              <w:left w:val="double" w:color="auto" w:sz="4" w:space="0"/>
            </w:tcBorders>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交流</w:t>
            </w:r>
          </w:p>
        </w:tc>
        <w:tc>
          <w:tcPr>
            <w:tcW w:w="1640" w:type="dxa"/>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L1相</w:t>
            </w:r>
          </w:p>
        </w:tc>
        <w:tc>
          <w:tcPr>
            <w:tcW w:w="1801" w:type="dxa"/>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上</w:t>
            </w:r>
          </w:p>
        </w:tc>
        <w:tc>
          <w:tcPr>
            <w:tcW w:w="1802" w:type="dxa"/>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左</w:t>
            </w:r>
          </w:p>
        </w:tc>
        <w:tc>
          <w:tcPr>
            <w:tcW w:w="1802" w:type="dxa"/>
            <w:tcBorders>
              <w:right w:val="double" w:color="auto" w:sz="4" w:space="0"/>
            </w:tcBorders>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945" w:type="dxa"/>
            <w:vMerge w:val="continue"/>
            <w:tcBorders>
              <w:left w:val="double" w:color="auto" w:sz="4" w:space="0"/>
            </w:tcBorders>
            <w:vAlign w:val="center"/>
          </w:tcPr>
          <w:p>
            <w:pPr>
              <w:numPr>
                <w:ilvl w:val="1"/>
                <w:numId w:val="9"/>
              </w:numPr>
              <w:spacing w:line="360" w:lineRule="auto"/>
              <w:jc w:val="center"/>
              <w:rPr>
                <w:rFonts w:hint="eastAsia" w:ascii="宋体" w:hAnsi="宋体" w:cs="宋体"/>
                <w:b/>
                <w:color w:val="auto"/>
                <w:szCs w:val="21"/>
                <w:highlight w:val="none"/>
              </w:rPr>
            </w:pPr>
          </w:p>
        </w:tc>
        <w:tc>
          <w:tcPr>
            <w:tcW w:w="1640" w:type="dxa"/>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L2相</w:t>
            </w:r>
          </w:p>
        </w:tc>
        <w:tc>
          <w:tcPr>
            <w:tcW w:w="1801" w:type="dxa"/>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中</w:t>
            </w:r>
          </w:p>
        </w:tc>
        <w:tc>
          <w:tcPr>
            <w:tcW w:w="1802" w:type="dxa"/>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中</w:t>
            </w:r>
          </w:p>
        </w:tc>
        <w:tc>
          <w:tcPr>
            <w:tcW w:w="1802" w:type="dxa"/>
            <w:tcBorders>
              <w:right w:val="double" w:color="auto" w:sz="4" w:space="0"/>
            </w:tcBorders>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945" w:type="dxa"/>
            <w:vMerge w:val="continue"/>
            <w:tcBorders>
              <w:left w:val="double" w:color="auto" w:sz="4" w:space="0"/>
            </w:tcBorders>
            <w:vAlign w:val="center"/>
          </w:tcPr>
          <w:p>
            <w:pPr>
              <w:numPr>
                <w:ilvl w:val="1"/>
                <w:numId w:val="9"/>
              </w:numPr>
              <w:spacing w:line="360" w:lineRule="auto"/>
              <w:jc w:val="center"/>
              <w:rPr>
                <w:rFonts w:hint="eastAsia" w:ascii="宋体" w:hAnsi="宋体" w:cs="宋体"/>
                <w:b/>
                <w:color w:val="auto"/>
                <w:szCs w:val="21"/>
                <w:highlight w:val="none"/>
              </w:rPr>
            </w:pPr>
          </w:p>
        </w:tc>
        <w:tc>
          <w:tcPr>
            <w:tcW w:w="1640" w:type="dxa"/>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L3相</w:t>
            </w:r>
          </w:p>
        </w:tc>
        <w:tc>
          <w:tcPr>
            <w:tcW w:w="1801" w:type="dxa"/>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下</w:t>
            </w:r>
          </w:p>
        </w:tc>
        <w:tc>
          <w:tcPr>
            <w:tcW w:w="1802" w:type="dxa"/>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右</w:t>
            </w:r>
          </w:p>
        </w:tc>
        <w:tc>
          <w:tcPr>
            <w:tcW w:w="1802" w:type="dxa"/>
            <w:tcBorders>
              <w:right w:val="double" w:color="auto" w:sz="4" w:space="0"/>
            </w:tcBorders>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atLeast"/>
          <w:jc w:val="center"/>
        </w:trPr>
        <w:tc>
          <w:tcPr>
            <w:tcW w:w="945" w:type="dxa"/>
            <w:vMerge w:val="continue"/>
            <w:tcBorders>
              <w:left w:val="double" w:color="auto" w:sz="4" w:space="0"/>
              <w:bottom w:val="double" w:color="auto" w:sz="4" w:space="0"/>
            </w:tcBorders>
            <w:vAlign w:val="center"/>
          </w:tcPr>
          <w:p>
            <w:pPr>
              <w:numPr>
                <w:ilvl w:val="1"/>
                <w:numId w:val="9"/>
              </w:numPr>
              <w:spacing w:line="360" w:lineRule="auto"/>
              <w:jc w:val="center"/>
              <w:rPr>
                <w:rFonts w:hint="eastAsia" w:ascii="宋体" w:hAnsi="宋体" w:cs="宋体"/>
                <w:b/>
                <w:color w:val="auto"/>
                <w:szCs w:val="21"/>
                <w:highlight w:val="none"/>
              </w:rPr>
            </w:pPr>
          </w:p>
        </w:tc>
        <w:tc>
          <w:tcPr>
            <w:tcW w:w="1640" w:type="dxa"/>
            <w:tcBorders>
              <w:bottom w:val="double" w:color="auto" w:sz="4" w:space="0"/>
            </w:tcBorders>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N中性线</w:t>
            </w:r>
          </w:p>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PE中性保护线</w:t>
            </w:r>
          </w:p>
        </w:tc>
        <w:tc>
          <w:tcPr>
            <w:tcW w:w="1801" w:type="dxa"/>
            <w:tcBorders>
              <w:bottom w:val="double" w:color="auto" w:sz="4" w:space="0"/>
            </w:tcBorders>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最下</w:t>
            </w:r>
          </w:p>
        </w:tc>
        <w:tc>
          <w:tcPr>
            <w:tcW w:w="1802" w:type="dxa"/>
            <w:tcBorders>
              <w:bottom w:val="double" w:color="auto" w:sz="4" w:space="0"/>
            </w:tcBorders>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最右</w:t>
            </w:r>
          </w:p>
        </w:tc>
        <w:tc>
          <w:tcPr>
            <w:tcW w:w="1802" w:type="dxa"/>
            <w:tcBorders>
              <w:bottom w:val="double" w:color="auto" w:sz="4" w:space="0"/>
              <w:right w:val="double" w:color="auto" w:sz="4" w:space="0"/>
            </w:tcBorders>
            <w:vAlign w:val="center"/>
          </w:tcPr>
          <w:p>
            <w:pPr>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最近</w:t>
            </w:r>
          </w:p>
        </w:tc>
      </w:tr>
    </w:tbl>
    <w:p>
      <w:pPr>
        <w:spacing w:line="360" w:lineRule="auto"/>
        <w:ind w:left="-2" w:leftChars="-1" w:firstLine="2"/>
        <w:rPr>
          <w:rFonts w:hint="eastAsia" w:ascii="宋体" w:hAnsi="宋体" w:cs="宋体"/>
          <w:color w:val="auto"/>
          <w:szCs w:val="21"/>
          <w:highlight w:val="none"/>
        </w:rPr>
      </w:pP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1.3.6主要元器件技术要求</w:t>
      </w:r>
    </w:p>
    <w:p>
      <w:p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1.3.6.1概述</w:t>
      </w:r>
    </w:p>
    <w:p>
      <w:pPr>
        <w:numPr>
          <w:ilvl w:val="0"/>
          <w:numId w:val="10"/>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低压开关柜内的主要元器件为断路器、智能控制单元、智能电力测控仪表及智能接口模块、按钮/信号灯等。</w:t>
      </w:r>
    </w:p>
    <w:p>
      <w:pPr>
        <w:numPr>
          <w:ilvl w:val="0"/>
          <w:numId w:val="10"/>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为满足不同阶段用电负荷的调整和变化，要求框架式开关的脱扣整定电流采用现场带负荷可调型，并有宽阔的电流和时间调节范围。</w:t>
      </w:r>
    </w:p>
    <w:p>
      <w:pPr>
        <w:numPr>
          <w:ilvl w:val="0"/>
          <w:numId w:val="10"/>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为便于开关电器的上下级保护配合和方便管理，框架开关、塑壳开关、接触器及配套的所有附件必须选用同一体系的产品，进线和母联采用同一类型开关。</w:t>
      </w:r>
    </w:p>
    <w:p>
      <w:pPr>
        <w:numPr>
          <w:ilvl w:val="0"/>
          <w:numId w:val="10"/>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为便于电气设备的维修、维护，开关电器的连接方式应满足以下要求：</w:t>
      </w:r>
    </w:p>
    <w:p>
      <w:pPr>
        <w:numPr>
          <w:ilvl w:val="0"/>
          <w:numId w:val="10"/>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抽出式低压断路器应使装置小室门在关闭状态下抽出断路器（主回路与二次回路均可断开）；</w:t>
      </w:r>
    </w:p>
    <w:p>
      <w:pPr>
        <w:numPr>
          <w:ilvl w:val="0"/>
          <w:numId w:val="10"/>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抽屉式开关—功能小室内的断路器及其它电器连同抽屉一同抽出（主回路与二次回路均可断开）。</w:t>
      </w:r>
    </w:p>
    <w:p>
      <w:pPr>
        <w:numPr>
          <w:ilvl w:val="0"/>
          <w:numId w:val="10"/>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智能元器件尽可能采用模块结构，导轨安装，可带电插拔。</w:t>
      </w:r>
    </w:p>
    <w:p>
      <w:pPr>
        <w:numPr>
          <w:ilvl w:val="0"/>
          <w:numId w:val="10"/>
        </w:numPr>
        <w:tabs>
          <w:tab w:val="left" w:pos="420"/>
        </w:tabs>
        <w:spacing w:line="360" w:lineRule="auto"/>
        <w:ind w:left="851" w:hanging="431"/>
        <w:rPr>
          <w:rFonts w:hint="eastAsia" w:ascii="宋体" w:hAnsi="宋体" w:cs="宋体"/>
          <w:color w:val="auto"/>
          <w:szCs w:val="21"/>
          <w:highlight w:val="none"/>
          <w:lang w:val="en-GB"/>
        </w:rPr>
      </w:pPr>
      <w:r>
        <w:rPr>
          <w:rFonts w:hint="eastAsia" w:ascii="宋体" w:hAnsi="宋体" w:cs="宋体"/>
          <w:color w:val="auto"/>
          <w:szCs w:val="21"/>
          <w:highlight w:val="none"/>
        </w:rPr>
        <w:t>插入式</w:t>
      </w:r>
      <w:r>
        <w:rPr>
          <w:rFonts w:hint="eastAsia" w:ascii="宋体" w:hAnsi="宋体" w:cs="宋体"/>
          <w:color w:val="auto"/>
          <w:szCs w:val="21"/>
          <w:highlight w:val="none"/>
          <w:lang w:val="en-GB"/>
        </w:rPr>
        <w:t>塑壳断路器拔出后，设备小室不得有带电体外露。</w:t>
      </w:r>
    </w:p>
    <w:p>
      <w:pPr>
        <w:numPr>
          <w:ilvl w:val="0"/>
          <w:numId w:val="10"/>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智能开关、智能元器件等均采用工业型的标准开放的现场总线产品。信号输入采用光电隔离，开关量输出一般采用继电器输出。</w:t>
      </w:r>
    </w:p>
    <w:p>
      <w:pPr>
        <w:numPr>
          <w:ilvl w:val="0"/>
          <w:numId w:val="10"/>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所有柜内元器件、端子排应选择与成套开关柜厂配套的国际知名品牌的产品。</w:t>
      </w:r>
    </w:p>
    <w:p>
      <w:p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1.3.6.2低压交流框架式断路器</w:t>
      </w:r>
    </w:p>
    <w:p>
      <w:p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低压交流框架式断路器主要用于进线、母联分段开关及馈出电流大于等于630A的回路。</w:t>
      </w:r>
    </w:p>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lang w:val="en-GB"/>
        </w:rPr>
        <w:t>低压交流框架式断路器应符合下列主要技术要求:</w:t>
      </w:r>
    </w:p>
    <w:p>
      <w:pPr>
        <w:numPr>
          <w:ilvl w:val="0"/>
          <w:numId w:val="11"/>
        </w:numPr>
        <w:tabs>
          <w:tab w:val="left" w:pos="420"/>
        </w:tabs>
        <w:spacing w:line="360" w:lineRule="auto"/>
        <w:ind w:left="851" w:hanging="431"/>
        <w:rPr>
          <w:rFonts w:hint="eastAsia" w:ascii="宋体" w:hAnsi="宋体" w:cs="宋体"/>
          <w:color w:val="auto"/>
          <w:szCs w:val="21"/>
          <w:highlight w:val="none"/>
          <w:lang w:val="en-GB"/>
        </w:rPr>
      </w:pPr>
      <w:r>
        <w:rPr>
          <w:rFonts w:hint="eastAsia" w:ascii="宋体" w:hAnsi="宋体" w:cs="宋体"/>
          <w:color w:val="auto"/>
          <w:szCs w:val="21"/>
          <w:highlight w:val="none"/>
          <w:lang w:val="en-GB"/>
        </w:rPr>
        <w:t>满足系统电压、电流、频率以及分断能力的性能水平要求。</w:t>
      </w:r>
    </w:p>
    <w:p>
      <w:pPr>
        <w:numPr>
          <w:ilvl w:val="0"/>
          <w:numId w:val="11"/>
        </w:numPr>
        <w:tabs>
          <w:tab w:val="left" w:pos="420"/>
        </w:tabs>
        <w:spacing w:line="360" w:lineRule="auto"/>
        <w:ind w:left="851" w:hanging="431"/>
        <w:rPr>
          <w:rFonts w:hint="eastAsia" w:ascii="宋体" w:hAnsi="宋体" w:cs="宋体"/>
          <w:color w:val="auto"/>
          <w:szCs w:val="21"/>
          <w:highlight w:val="none"/>
          <w:lang w:val="en-GB"/>
        </w:rPr>
      </w:pPr>
      <w:r>
        <w:rPr>
          <w:rFonts w:hint="eastAsia" w:ascii="宋体" w:hAnsi="宋体" w:cs="宋体"/>
          <w:color w:val="auto"/>
          <w:szCs w:val="21"/>
          <w:highlight w:val="none"/>
          <w:lang w:val="en-GB"/>
        </w:rPr>
        <w:t>框架式断路器控制单元应不需要辅助电源，采用中文液晶显示。控制单元的功能包括：可调整长延时保护、可调整短延时保护、可调整瞬时脱扣及零序保护。在短延时保护和接地保护时应具有区域选择性闭锁功能，还应具有电流测量、故障显示诊断功能。</w:t>
      </w:r>
    </w:p>
    <w:p>
      <w:pPr>
        <w:numPr>
          <w:ilvl w:val="0"/>
          <w:numId w:val="11"/>
        </w:numPr>
        <w:tabs>
          <w:tab w:val="left" w:pos="420"/>
        </w:tabs>
        <w:spacing w:line="360" w:lineRule="auto"/>
        <w:ind w:left="851" w:hanging="431"/>
        <w:rPr>
          <w:rFonts w:hint="eastAsia" w:ascii="宋体" w:hAnsi="宋体" w:cs="宋体"/>
          <w:color w:val="auto"/>
          <w:szCs w:val="21"/>
          <w:highlight w:val="none"/>
          <w:lang w:val="en-GB"/>
        </w:rPr>
      </w:pPr>
      <w:r>
        <w:rPr>
          <w:rFonts w:hint="eastAsia" w:ascii="宋体" w:hAnsi="宋体" w:cs="宋体"/>
          <w:color w:val="auto"/>
          <w:szCs w:val="21"/>
          <w:highlight w:val="none"/>
          <w:lang w:val="en-GB"/>
        </w:rPr>
        <w:t>有宽阔的电流和时间调节范围。</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47"/>
        <w:gridCol w:w="3052"/>
        <w:gridCol w:w="27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47"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lang w:val="en-GB"/>
              </w:rPr>
              <w:t>长延时</w:t>
            </w:r>
          </w:p>
        </w:tc>
        <w:tc>
          <w:tcPr>
            <w:tcW w:w="3052"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lang w:val="en-GB"/>
              </w:rPr>
              <w:t>0.4～1.0Ir</w:t>
            </w:r>
          </w:p>
        </w:tc>
        <w:tc>
          <w:tcPr>
            <w:tcW w:w="2717"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lang w:val="en-GB"/>
              </w:rPr>
              <w:t>3～20S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47"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lang w:val="en-GB"/>
              </w:rPr>
              <w:t>短延时</w:t>
            </w:r>
          </w:p>
        </w:tc>
        <w:tc>
          <w:tcPr>
            <w:tcW w:w="3052"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lang w:val="en-GB"/>
              </w:rPr>
              <w:t>0.6～10Ir</w:t>
            </w:r>
          </w:p>
        </w:tc>
        <w:tc>
          <w:tcPr>
            <w:tcW w:w="2717"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lang w:val="en-GB"/>
              </w:rPr>
              <w:t>0.1～0.5S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47"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lang w:val="en-GB"/>
              </w:rPr>
              <w:t>短路瞬时</w:t>
            </w:r>
          </w:p>
        </w:tc>
        <w:tc>
          <w:tcPr>
            <w:tcW w:w="3052"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lang w:val="en-GB"/>
              </w:rPr>
              <w:t>1.5～10Ir</w:t>
            </w:r>
          </w:p>
        </w:tc>
        <w:tc>
          <w:tcPr>
            <w:tcW w:w="2717" w:type="dxa"/>
            <w:vAlign w:val="center"/>
          </w:tcPr>
          <w:p>
            <w:pPr>
              <w:spacing w:line="360" w:lineRule="auto"/>
              <w:ind w:left="-2" w:leftChars="-1" w:firstLine="2"/>
              <w:rPr>
                <w:rFonts w:hint="eastAsia" w:ascii="宋体" w:hAnsi="宋体" w:cs="宋体"/>
                <w:b/>
                <w:color w:val="auto"/>
                <w:szCs w:val="21"/>
                <w:highlight w:val="none"/>
                <w:lang w:val="en-G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47"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lang w:val="en-GB"/>
              </w:rPr>
              <w:t>接地</w:t>
            </w:r>
          </w:p>
        </w:tc>
        <w:tc>
          <w:tcPr>
            <w:tcW w:w="3052"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lang w:val="en-GB"/>
              </w:rPr>
              <w:t>0.2～1Ir</w:t>
            </w:r>
          </w:p>
        </w:tc>
        <w:tc>
          <w:tcPr>
            <w:tcW w:w="2717"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lang w:val="en-GB"/>
              </w:rPr>
              <w:t>0.1～0.8S</w:t>
            </w:r>
          </w:p>
        </w:tc>
      </w:tr>
    </w:tbl>
    <w:p>
      <w:pPr>
        <w:numPr>
          <w:ilvl w:val="0"/>
          <w:numId w:val="11"/>
        </w:numPr>
        <w:tabs>
          <w:tab w:val="left" w:pos="420"/>
        </w:tabs>
        <w:spacing w:line="360" w:lineRule="auto"/>
        <w:ind w:left="851" w:hanging="431"/>
        <w:rPr>
          <w:rFonts w:hint="eastAsia" w:ascii="宋体" w:hAnsi="宋体" w:cs="宋体"/>
          <w:color w:val="auto"/>
          <w:szCs w:val="21"/>
          <w:highlight w:val="none"/>
          <w:lang w:val="en-GB"/>
        </w:rPr>
      </w:pPr>
      <w:r>
        <w:rPr>
          <w:rFonts w:hint="eastAsia" w:ascii="宋体" w:hAnsi="宋体" w:cs="宋体"/>
          <w:color w:val="auto"/>
          <w:szCs w:val="21"/>
          <w:highlight w:val="none"/>
          <w:lang w:val="en-GB"/>
        </w:rPr>
        <w:t>断路器应为模块化结构设计、方便断路器功能的扩充而无需改变断路器结构和低压开关柜结构。对于不同框架等级额定电流的断路器尽量采用标准化、模块化的附件，以便运营维护和管理。</w:t>
      </w:r>
    </w:p>
    <w:p>
      <w:pPr>
        <w:numPr>
          <w:ilvl w:val="0"/>
          <w:numId w:val="11"/>
        </w:numPr>
        <w:tabs>
          <w:tab w:val="left" w:pos="420"/>
        </w:tabs>
        <w:spacing w:line="360" w:lineRule="auto"/>
        <w:ind w:left="851" w:hanging="431"/>
        <w:rPr>
          <w:rFonts w:hint="eastAsia" w:ascii="宋体" w:hAnsi="宋体" w:cs="宋体"/>
          <w:color w:val="auto"/>
          <w:szCs w:val="21"/>
          <w:highlight w:val="none"/>
          <w:lang w:val="en-GB"/>
        </w:rPr>
      </w:pPr>
      <w:r>
        <w:rPr>
          <w:rFonts w:hint="eastAsia" w:ascii="宋体" w:hAnsi="宋体" w:cs="宋体"/>
          <w:color w:val="auto"/>
          <w:szCs w:val="21"/>
          <w:highlight w:val="none"/>
          <w:lang w:val="en-GB"/>
        </w:rPr>
        <w:t>通过电子控制装置可对触头磨损情况进行检测以及断路器动作次数做出显示。</w:t>
      </w:r>
    </w:p>
    <w:p>
      <w:pPr>
        <w:numPr>
          <w:ilvl w:val="0"/>
          <w:numId w:val="11"/>
        </w:numPr>
        <w:tabs>
          <w:tab w:val="left" w:pos="420"/>
        </w:tabs>
        <w:spacing w:line="360" w:lineRule="auto"/>
        <w:ind w:left="851" w:hanging="431"/>
        <w:rPr>
          <w:rFonts w:hint="eastAsia" w:ascii="宋体" w:hAnsi="宋体" w:cs="宋体"/>
          <w:color w:val="auto"/>
          <w:szCs w:val="21"/>
          <w:highlight w:val="none"/>
          <w:lang w:val="en-GB"/>
        </w:rPr>
      </w:pPr>
      <w:r>
        <w:rPr>
          <w:rFonts w:hint="eastAsia" w:ascii="宋体" w:hAnsi="宋体" w:cs="宋体"/>
          <w:color w:val="auto"/>
          <w:szCs w:val="21"/>
          <w:highlight w:val="none"/>
          <w:lang w:val="en-GB"/>
        </w:rPr>
        <w:t>断路器控制单元带有液晶显示器，具有故障诊断功能，可快速确定故障类型，以最短时间隔离开受故障影响的范围。断路器在故障跳闸时，应具有明确的机械及电气故障指示，并具有远程复位功能。</w:t>
      </w:r>
    </w:p>
    <w:p>
      <w:pPr>
        <w:numPr>
          <w:ilvl w:val="0"/>
          <w:numId w:val="11"/>
        </w:numPr>
        <w:tabs>
          <w:tab w:val="left" w:pos="420"/>
        </w:tabs>
        <w:spacing w:line="360" w:lineRule="auto"/>
        <w:ind w:left="851" w:hanging="431"/>
        <w:rPr>
          <w:rFonts w:hint="eastAsia" w:ascii="宋体" w:hAnsi="宋体" w:cs="宋体"/>
          <w:color w:val="auto"/>
          <w:szCs w:val="21"/>
          <w:highlight w:val="none"/>
          <w:lang w:val="en-GB"/>
        </w:rPr>
      </w:pPr>
      <w:r>
        <w:rPr>
          <w:rFonts w:hint="eastAsia" w:ascii="宋体" w:hAnsi="宋体" w:cs="宋体"/>
          <w:color w:val="auto"/>
          <w:szCs w:val="21"/>
          <w:highlight w:val="none"/>
          <w:lang w:val="en-GB"/>
        </w:rPr>
        <w:t>断路器应为零飞弧、抗湿热型产品。</w:t>
      </w:r>
    </w:p>
    <w:p>
      <w:pPr>
        <w:numPr>
          <w:ilvl w:val="0"/>
          <w:numId w:val="11"/>
        </w:numPr>
        <w:tabs>
          <w:tab w:val="left" w:pos="420"/>
        </w:tabs>
        <w:spacing w:line="360" w:lineRule="auto"/>
        <w:ind w:left="851" w:hanging="431"/>
        <w:rPr>
          <w:rFonts w:hint="eastAsia" w:ascii="宋体" w:hAnsi="宋体" w:cs="宋体"/>
          <w:color w:val="auto"/>
          <w:szCs w:val="21"/>
          <w:highlight w:val="none"/>
          <w:lang w:val="en-GB"/>
        </w:rPr>
      </w:pPr>
      <w:r>
        <w:rPr>
          <w:rFonts w:hint="eastAsia" w:ascii="宋体" w:hAnsi="宋体" w:cs="宋体"/>
          <w:color w:val="auto"/>
          <w:szCs w:val="21"/>
          <w:highlight w:val="none"/>
          <w:lang w:val="en-GB"/>
        </w:rPr>
        <w:t>不同额定电流和分断容量的抽出型断路器具有相同的固定部分，统一的开孔尺寸，方便安装和维护。（设计联络确定）</w:t>
      </w:r>
    </w:p>
    <w:p>
      <w:pPr>
        <w:numPr>
          <w:ilvl w:val="0"/>
          <w:numId w:val="11"/>
        </w:numPr>
        <w:tabs>
          <w:tab w:val="left" w:pos="420"/>
        </w:tabs>
        <w:spacing w:line="360" w:lineRule="auto"/>
        <w:ind w:left="851" w:hanging="431"/>
        <w:rPr>
          <w:rFonts w:hint="eastAsia" w:ascii="宋体" w:hAnsi="宋体" w:cs="宋体"/>
          <w:color w:val="auto"/>
          <w:szCs w:val="21"/>
          <w:highlight w:val="none"/>
          <w:lang w:val="en-GB"/>
        </w:rPr>
      </w:pPr>
      <w:r>
        <w:rPr>
          <w:rFonts w:hint="eastAsia" w:ascii="宋体" w:hAnsi="宋体" w:cs="宋体"/>
          <w:color w:val="auto"/>
          <w:szCs w:val="21"/>
          <w:highlight w:val="none"/>
          <w:lang w:val="en-GB"/>
        </w:rPr>
        <w:t>框架断路器提供限位器和指示器,以精确定位在“接通”﹑“试验”﹑“断开”位置，并提供机械闭锁机构以满足可靠安全的操作。</w:t>
      </w:r>
    </w:p>
    <w:p>
      <w:pPr>
        <w:numPr>
          <w:ilvl w:val="0"/>
          <w:numId w:val="11"/>
        </w:numPr>
        <w:tabs>
          <w:tab w:val="left" w:pos="420"/>
        </w:tabs>
        <w:spacing w:line="360" w:lineRule="auto"/>
        <w:ind w:left="851" w:hanging="431"/>
        <w:rPr>
          <w:rFonts w:hint="eastAsia" w:ascii="宋体" w:hAnsi="宋体" w:cs="宋体"/>
          <w:color w:val="auto"/>
          <w:szCs w:val="21"/>
          <w:highlight w:val="none"/>
          <w:lang w:val="en-GB"/>
        </w:rPr>
      </w:pPr>
      <w:r>
        <w:rPr>
          <w:rFonts w:hint="eastAsia" w:ascii="宋体" w:hAnsi="宋体" w:cs="宋体"/>
          <w:color w:val="auto"/>
          <w:szCs w:val="21"/>
          <w:highlight w:val="none"/>
          <w:lang w:val="en-GB"/>
        </w:rPr>
        <w:t>低压交流框架断路器的电气技术性能及参数见下表，厂家提供的开关电器技术参数不应低于表中数据。</w:t>
      </w:r>
    </w:p>
    <w:p>
      <w:pPr>
        <w:spacing w:line="360" w:lineRule="auto"/>
        <w:ind w:left="-2" w:leftChars="-1" w:firstLine="2"/>
        <w:jc w:val="center"/>
        <w:rPr>
          <w:rFonts w:hint="eastAsia" w:ascii="宋体" w:hAnsi="宋体" w:cs="宋体"/>
          <w:color w:val="auto"/>
          <w:szCs w:val="21"/>
          <w:highlight w:val="none"/>
        </w:rPr>
      </w:pPr>
      <w:r>
        <w:rPr>
          <w:rFonts w:hint="eastAsia" w:ascii="宋体" w:hAnsi="宋体" w:cs="宋体"/>
          <w:color w:val="auto"/>
          <w:szCs w:val="21"/>
          <w:highlight w:val="none"/>
        </w:rPr>
        <w:t>框架式断路器电气技术性能及参数</w:t>
      </w:r>
    </w:p>
    <w:tbl>
      <w:tblPr>
        <w:tblStyle w:val="15"/>
        <w:tblW w:w="0" w:type="auto"/>
        <w:tblInd w:w="108"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476"/>
        <w:gridCol w:w="943"/>
        <w:gridCol w:w="1133"/>
        <w:gridCol w:w="709"/>
        <w:gridCol w:w="708"/>
        <w:gridCol w:w="709"/>
        <w:gridCol w:w="709"/>
        <w:gridCol w:w="709"/>
        <w:gridCol w:w="708"/>
        <w:gridCol w:w="709"/>
        <w:gridCol w:w="851"/>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2552" w:type="dxa"/>
            <w:gridSpan w:val="3"/>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框架等级额定电流（A）</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800</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1000</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1250</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1600</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2000</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2500</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3200</w:t>
            </w:r>
          </w:p>
        </w:tc>
        <w:tc>
          <w:tcPr>
            <w:tcW w:w="851"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4000</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2552" w:type="dxa"/>
            <w:gridSpan w:val="3"/>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额定电流（A）</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800</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1000</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1250</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1600</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2000</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2500</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3200</w:t>
            </w:r>
          </w:p>
        </w:tc>
        <w:tc>
          <w:tcPr>
            <w:tcW w:w="851"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4000</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2552" w:type="dxa"/>
            <w:gridSpan w:val="3"/>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额定工作电压（V）</w:t>
            </w:r>
          </w:p>
        </w:tc>
        <w:tc>
          <w:tcPr>
            <w:tcW w:w="5812" w:type="dxa"/>
            <w:gridSpan w:val="8"/>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400</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PrEx>
        <w:trPr>
          <w:trHeight w:val="397" w:hRule="exact"/>
        </w:trPr>
        <w:tc>
          <w:tcPr>
            <w:tcW w:w="2552" w:type="dxa"/>
            <w:gridSpan w:val="3"/>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额定绝缘电压（V）</w:t>
            </w:r>
          </w:p>
        </w:tc>
        <w:tc>
          <w:tcPr>
            <w:tcW w:w="5812" w:type="dxa"/>
            <w:gridSpan w:val="8"/>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1000</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2552" w:type="dxa"/>
            <w:gridSpan w:val="3"/>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冲击耐压水平（V）</w:t>
            </w:r>
          </w:p>
        </w:tc>
        <w:tc>
          <w:tcPr>
            <w:tcW w:w="5812" w:type="dxa"/>
            <w:gridSpan w:val="8"/>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12000</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2552" w:type="dxa"/>
            <w:gridSpan w:val="3"/>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极数</w:t>
            </w:r>
          </w:p>
        </w:tc>
        <w:tc>
          <w:tcPr>
            <w:tcW w:w="709"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rPr>
              <w:t>4</w:t>
            </w:r>
            <w:r>
              <w:rPr>
                <w:rFonts w:hint="eastAsia" w:ascii="宋体" w:hAnsi="宋体" w:cs="宋体"/>
                <w:color w:val="auto"/>
                <w:szCs w:val="21"/>
                <w:highlight w:val="none"/>
                <w:lang w:val="en-GB"/>
              </w:rPr>
              <w:t>/</w:t>
            </w:r>
            <w:r>
              <w:rPr>
                <w:rFonts w:hint="eastAsia" w:ascii="宋体" w:hAnsi="宋体" w:cs="宋体"/>
                <w:color w:val="auto"/>
                <w:szCs w:val="21"/>
                <w:highlight w:val="none"/>
              </w:rPr>
              <w:t>3</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w:t>
            </w:r>
            <w:r>
              <w:rPr>
                <w:rFonts w:hint="eastAsia" w:ascii="宋体" w:hAnsi="宋体" w:cs="宋体"/>
                <w:color w:val="auto"/>
                <w:szCs w:val="21"/>
                <w:highlight w:val="none"/>
                <w:lang w:val="en-GB"/>
              </w:rPr>
              <w:t>/</w:t>
            </w:r>
            <w:r>
              <w:rPr>
                <w:rFonts w:hint="eastAsia" w:ascii="宋体" w:hAnsi="宋体" w:cs="宋体"/>
                <w:color w:val="auto"/>
                <w:szCs w:val="21"/>
                <w:highlight w:val="none"/>
              </w:rPr>
              <w:t>3</w:t>
            </w:r>
          </w:p>
        </w:tc>
        <w:tc>
          <w:tcPr>
            <w:tcW w:w="709"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rPr>
              <w:t>4</w:t>
            </w:r>
            <w:r>
              <w:rPr>
                <w:rFonts w:hint="eastAsia" w:ascii="宋体" w:hAnsi="宋体" w:cs="宋体"/>
                <w:color w:val="auto"/>
                <w:szCs w:val="21"/>
                <w:highlight w:val="none"/>
                <w:lang w:val="en-GB"/>
              </w:rPr>
              <w:t>/</w:t>
            </w:r>
            <w:r>
              <w:rPr>
                <w:rFonts w:hint="eastAsia" w:ascii="宋体" w:hAnsi="宋体" w:cs="宋体"/>
                <w:color w:val="auto"/>
                <w:szCs w:val="21"/>
                <w:highlight w:val="none"/>
              </w:rPr>
              <w:t>3</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w:t>
            </w:r>
            <w:r>
              <w:rPr>
                <w:rFonts w:hint="eastAsia" w:ascii="宋体" w:hAnsi="宋体" w:cs="宋体"/>
                <w:color w:val="auto"/>
                <w:szCs w:val="21"/>
                <w:highlight w:val="none"/>
                <w:lang w:val="en-GB"/>
              </w:rPr>
              <w:t>/</w:t>
            </w:r>
            <w:r>
              <w:rPr>
                <w:rFonts w:hint="eastAsia" w:ascii="宋体" w:hAnsi="宋体" w:cs="宋体"/>
                <w:color w:val="auto"/>
                <w:szCs w:val="21"/>
                <w:highlight w:val="none"/>
              </w:rPr>
              <w:t>3</w:t>
            </w:r>
          </w:p>
        </w:tc>
        <w:tc>
          <w:tcPr>
            <w:tcW w:w="709"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rPr>
              <w:t>4</w:t>
            </w:r>
            <w:r>
              <w:rPr>
                <w:rFonts w:hint="eastAsia" w:ascii="宋体" w:hAnsi="宋体" w:cs="宋体"/>
                <w:color w:val="auto"/>
                <w:szCs w:val="21"/>
                <w:highlight w:val="none"/>
                <w:lang w:val="en-GB"/>
              </w:rPr>
              <w:t>/</w:t>
            </w:r>
            <w:r>
              <w:rPr>
                <w:rFonts w:hint="eastAsia" w:ascii="宋体" w:hAnsi="宋体" w:cs="宋体"/>
                <w:color w:val="auto"/>
                <w:szCs w:val="21"/>
                <w:highlight w:val="none"/>
              </w:rPr>
              <w:t>3</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w:t>
            </w:r>
            <w:r>
              <w:rPr>
                <w:rFonts w:hint="eastAsia" w:ascii="宋体" w:hAnsi="宋体" w:cs="宋体"/>
                <w:color w:val="auto"/>
                <w:szCs w:val="21"/>
                <w:highlight w:val="none"/>
                <w:lang w:val="en-GB"/>
              </w:rPr>
              <w:t>/</w:t>
            </w:r>
            <w:r>
              <w:rPr>
                <w:rFonts w:hint="eastAsia" w:ascii="宋体" w:hAnsi="宋体" w:cs="宋体"/>
                <w:color w:val="auto"/>
                <w:szCs w:val="21"/>
                <w:highlight w:val="none"/>
              </w:rPr>
              <w:t>3</w:t>
            </w:r>
          </w:p>
        </w:tc>
        <w:tc>
          <w:tcPr>
            <w:tcW w:w="709"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rPr>
              <w:t>4</w:t>
            </w:r>
            <w:r>
              <w:rPr>
                <w:rFonts w:hint="eastAsia" w:ascii="宋体" w:hAnsi="宋体" w:cs="宋体"/>
                <w:color w:val="auto"/>
                <w:szCs w:val="21"/>
                <w:highlight w:val="none"/>
                <w:lang w:val="en-GB"/>
              </w:rPr>
              <w:t>/</w:t>
            </w:r>
            <w:r>
              <w:rPr>
                <w:rFonts w:hint="eastAsia" w:ascii="宋体" w:hAnsi="宋体" w:cs="宋体"/>
                <w:color w:val="auto"/>
                <w:szCs w:val="21"/>
                <w:highlight w:val="none"/>
              </w:rPr>
              <w:t>3</w:t>
            </w:r>
          </w:p>
        </w:tc>
        <w:tc>
          <w:tcPr>
            <w:tcW w:w="851"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w:t>
            </w:r>
            <w:r>
              <w:rPr>
                <w:rFonts w:hint="eastAsia" w:ascii="宋体" w:hAnsi="宋体" w:cs="宋体"/>
                <w:color w:val="auto"/>
                <w:szCs w:val="21"/>
                <w:highlight w:val="none"/>
                <w:lang w:val="en-GB"/>
              </w:rPr>
              <w:t>/</w:t>
            </w:r>
            <w:r>
              <w:rPr>
                <w:rFonts w:hint="eastAsia" w:ascii="宋体" w:hAnsi="宋体" w:cs="宋体"/>
                <w:color w:val="auto"/>
                <w:szCs w:val="21"/>
                <w:highlight w:val="none"/>
              </w:rPr>
              <w:t>3</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07" w:hRule="exact"/>
        </w:trPr>
        <w:tc>
          <w:tcPr>
            <w:tcW w:w="2552" w:type="dxa"/>
            <w:gridSpan w:val="3"/>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第四极额定电流</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800</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1000</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1250</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1600</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2000</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2500</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3200</w:t>
            </w:r>
          </w:p>
        </w:tc>
        <w:tc>
          <w:tcPr>
            <w:tcW w:w="851"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4000</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1152" w:hRule="exact"/>
        </w:trPr>
        <w:tc>
          <w:tcPr>
            <w:tcW w:w="2552" w:type="dxa"/>
            <w:gridSpan w:val="3"/>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额定极限短路分断能力</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75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75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tc>
        <w:tc>
          <w:tcPr>
            <w:tcW w:w="851"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100</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100*</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1126" w:hRule="exact"/>
        </w:trPr>
        <w:tc>
          <w:tcPr>
            <w:tcW w:w="2552" w:type="dxa"/>
            <w:gridSpan w:val="3"/>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额定运行短路分断能力50HzO-CO-CO（kA）</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75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75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tc>
        <w:tc>
          <w:tcPr>
            <w:tcW w:w="851"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100</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100*</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2552" w:type="dxa"/>
            <w:gridSpan w:val="3"/>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额定关合短路电流（kA峰值）</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143</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143</w:t>
            </w:r>
          </w:p>
          <w:p>
            <w:pPr>
              <w:spacing w:line="360" w:lineRule="auto"/>
              <w:ind w:left="-2" w:leftChars="-1" w:firstLine="2"/>
              <w:rPr>
                <w:rFonts w:hint="eastAsia" w:ascii="宋体" w:hAnsi="宋体" w:cs="宋体"/>
                <w:b/>
                <w:color w:val="auto"/>
                <w:szCs w:val="21"/>
                <w:highlight w:val="none"/>
              </w:rPr>
            </w:pP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143</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143*</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143</w:t>
            </w:r>
          </w:p>
          <w:p>
            <w:pPr>
              <w:spacing w:line="360" w:lineRule="auto"/>
              <w:ind w:left="-2" w:leftChars="-1" w:firstLine="2"/>
              <w:rPr>
                <w:rFonts w:hint="eastAsia" w:ascii="宋体" w:hAnsi="宋体" w:cs="宋体"/>
                <w:b/>
                <w:color w:val="auto"/>
                <w:szCs w:val="21"/>
                <w:highlight w:val="none"/>
              </w:rPr>
            </w:pP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143</w:t>
            </w:r>
          </w:p>
          <w:p>
            <w:pPr>
              <w:spacing w:line="360" w:lineRule="auto"/>
              <w:ind w:left="-2" w:leftChars="-1" w:firstLine="2"/>
              <w:rPr>
                <w:rFonts w:hint="eastAsia" w:ascii="宋体" w:hAnsi="宋体" w:cs="宋体"/>
                <w:b/>
                <w:color w:val="auto"/>
                <w:szCs w:val="21"/>
                <w:highlight w:val="none"/>
              </w:rPr>
            </w:pP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165</w:t>
            </w:r>
          </w:p>
          <w:p>
            <w:pPr>
              <w:spacing w:line="360" w:lineRule="auto"/>
              <w:ind w:left="-2" w:leftChars="-1" w:firstLine="2"/>
              <w:rPr>
                <w:rFonts w:hint="eastAsia" w:ascii="宋体" w:hAnsi="宋体" w:cs="宋体"/>
                <w:b/>
                <w:color w:val="auto"/>
                <w:szCs w:val="21"/>
                <w:highlight w:val="none"/>
              </w:rPr>
            </w:pP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165</w:t>
            </w:r>
          </w:p>
          <w:p>
            <w:pPr>
              <w:spacing w:line="360" w:lineRule="auto"/>
              <w:ind w:left="-2" w:leftChars="-1" w:firstLine="2"/>
              <w:rPr>
                <w:rFonts w:hint="eastAsia" w:ascii="宋体" w:hAnsi="宋体" w:cs="宋体"/>
                <w:b/>
                <w:color w:val="auto"/>
                <w:szCs w:val="21"/>
                <w:highlight w:val="none"/>
              </w:rPr>
            </w:pPr>
          </w:p>
        </w:tc>
        <w:tc>
          <w:tcPr>
            <w:tcW w:w="851"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165</w:t>
            </w:r>
          </w:p>
          <w:p>
            <w:pPr>
              <w:spacing w:line="360" w:lineRule="auto"/>
              <w:ind w:left="-2" w:leftChars="-1" w:firstLine="2"/>
              <w:rPr>
                <w:rFonts w:hint="eastAsia" w:ascii="宋体" w:hAnsi="宋体" w:cs="宋体"/>
                <w:b/>
                <w:color w:val="auto"/>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1548" w:hRule="exact"/>
        </w:trPr>
        <w:tc>
          <w:tcPr>
            <w:tcW w:w="2552" w:type="dxa"/>
            <w:gridSpan w:val="3"/>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短时耐受电流Icw(kA)</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1s</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3s</w:t>
            </w:r>
          </w:p>
        </w:tc>
        <w:tc>
          <w:tcPr>
            <w:tcW w:w="709" w:type="dxa"/>
            <w:vAlign w:val="center"/>
          </w:tcPr>
          <w:p>
            <w:pPr>
              <w:spacing w:line="360" w:lineRule="auto"/>
              <w:ind w:left="-2" w:leftChars="-1" w:firstLine="2"/>
              <w:rPr>
                <w:rFonts w:hint="eastAsia" w:ascii="宋体" w:hAnsi="宋体" w:cs="宋体"/>
                <w:color w:val="auto"/>
                <w:szCs w:val="21"/>
                <w:highlight w:val="none"/>
              </w:rPr>
            </w:pP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55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42</w:t>
            </w:r>
          </w:p>
          <w:p>
            <w:pPr>
              <w:spacing w:line="360" w:lineRule="auto"/>
              <w:ind w:left="-2" w:leftChars="-1" w:firstLine="2"/>
              <w:rPr>
                <w:rFonts w:hint="eastAsia" w:ascii="宋体" w:hAnsi="宋体" w:cs="宋体"/>
                <w:color w:val="auto"/>
                <w:szCs w:val="21"/>
                <w:highlight w:val="none"/>
              </w:rPr>
            </w:pPr>
          </w:p>
        </w:tc>
        <w:tc>
          <w:tcPr>
            <w:tcW w:w="708" w:type="dxa"/>
          </w:tcPr>
          <w:p>
            <w:pPr>
              <w:spacing w:line="360" w:lineRule="auto"/>
              <w:ind w:left="-2" w:leftChars="-1" w:firstLine="2"/>
              <w:rPr>
                <w:rFonts w:hint="eastAsia" w:ascii="宋体" w:hAnsi="宋体" w:cs="宋体"/>
                <w:color w:val="auto"/>
                <w:szCs w:val="21"/>
                <w:highlight w:val="none"/>
              </w:rPr>
            </w:pP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55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42</w:t>
            </w:r>
          </w:p>
        </w:tc>
        <w:tc>
          <w:tcPr>
            <w:tcW w:w="709" w:type="dxa"/>
          </w:tcPr>
          <w:p>
            <w:pPr>
              <w:spacing w:line="360" w:lineRule="auto"/>
              <w:ind w:left="-2" w:leftChars="-1" w:firstLine="2"/>
              <w:rPr>
                <w:rFonts w:hint="eastAsia" w:ascii="宋体" w:hAnsi="宋体" w:cs="宋体"/>
                <w:color w:val="auto"/>
                <w:szCs w:val="21"/>
                <w:highlight w:val="none"/>
              </w:rPr>
            </w:pP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55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42</w:t>
            </w:r>
          </w:p>
        </w:tc>
        <w:tc>
          <w:tcPr>
            <w:tcW w:w="709" w:type="dxa"/>
          </w:tcPr>
          <w:p>
            <w:pPr>
              <w:spacing w:line="360" w:lineRule="auto"/>
              <w:ind w:left="-2" w:leftChars="-1" w:firstLine="2"/>
              <w:rPr>
                <w:rFonts w:hint="eastAsia" w:ascii="宋体" w:hAnsi="宋体" w:cs="宋体"/>
                <w:color w:val="auto"/>
                <w:szCs w:val="21"/>
                <w:highlight w:val="none"/>
              </w:rPr>
            </w:pP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55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42</w:t>
            </w:r>
          </w:p>
        </w:tc>
        <w:tc>
          <w:tcPr>
            <w:tcW w:w="709" w:type="dxa"/>
          </w:tcPr>
          <w:p>
            <w:pPr>
              <w:spacing w:line="360" w:lineRule="auto"/>
              <w:ind w:left="-2" w:leftChars="-1" w:firstLine="2"/>
              <w:rPr>
                <w:rFonts w:hint="eastAsia" w:ascii="宋体" w:hAnsi="宋体" w:cs="宋体"/>
                <w:color w:val="auto"/>
                <w:szCs w:val="21"/>
                <w:highlight w:val="none"/>
              </w:rPr>
            </w:pP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55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42</w:t>
            </w:r>
          </w:p>
        </w:tc>
        <w:tc>
          <w:tcPr>
            <w:tcW w:w="708" w:type="dxa"/>
            <w:vAlign w:val="center"/>
          </w:tcPr>
          <w:p>
            <w:pPr>
              <w:spacing w:line="360" w:lineRule="auto"/>
              <w:ind w:left="-2" w:leftChars="-1" w:firstLine="2"/>
              <w:rPr>
                <w:rFonts w:hint="eastAsia" w:ascii="宋体" w:hAnsi="宋体" w:cs="宋体"/>
                <w:color w:val="auto"/>
                <w:szCs w:val="21"/>
                <w:highlight w:val="none"/>
              </w:rPr>
            </w:pP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tc>
        <w:tc>
          <w:tcPr>
            <w:tcW w:w="709" w:type="dxa"/>
            <w:vAlign w:val="center"/>
          </w:tcPr>
          <w:p>
            <w:pPr>
              <w:spacing w:line="360" w:lineRule="auto"/>
              <w:ind w:left="-2" w:leftChars="-1" w:firstLine="2"/>
              <w:rPr>
                <w:rFonts w:hint="eastAsia" w:ascii="宋体" w:hAnsi="宋体" w:cs="宋体"/>
                <w:color w:val="auto"/>
                <w:szCs w:val="21"/>
                <w:highlight w:val="none"/>
              </w:rPr>
            </w:pP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75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65</w:t>
            </w:r>
          </w:p>
        </w:tc>
        <w:tc>
          <w:tcPr>
            <w:tcW w:w="851" w:type="dxa"/>
            <w:vAlign w:val="center"/>
          </w:tcPr>
          <w:p>
            <w:pPr>
              <w:spacing w:line="360" w:lineRule="auto"/>
              <w:ind w:left="-2" w:leftChars="-1" w:firstLine="2"/>
              <w:rPr>
                <w:rFonts w:hint="eastAsia" w:ascii="宋体" w:hAnsi="宋体" w:cs="宋体"/>
                <w:color w:val="auto"/>
                <w:szCs w:val="21"/>
                <w:highlight w:val="none"/>
              </w:rPr>
            </w:pP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75</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75</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2552" w:type="dxa"/>
            <w:gridSpan w:val="3"/>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分断时间（ms）</w:t>
            </w:r>
          </w:p>
        </w:tc>
        <w:tc>
          <w:tcPr>
            <w:tcW w:w="5812" w:type="dxa"/>
            <w:gridSpan w:val="8"/>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30~70</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2552" w:type="dxa"/>
            <w:gridSpan w:val="3"/>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合闸时间（ms）</w:t>
            </w:r>
          </w:p>
        </w:tc>
        <w:tc>
          <w:tcPr>
            <w:tcW w:w="5812" w:type="dxa"/>
            <w:gridSpan w:val="8"/>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＜80</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1419" w:type="dxa"/>
            <w:gridSpan w:val="2"/>
            <w:vMerge w:val="restart"/>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机械寿命（CO循环）</w:t>
            </w:r>
            <w:r>
              <w:rPr>
                <w:rFonts w:hint="eastAsia" w:ascii="宋体" w:hAnsi="宋体" w:cs="宋体"/>
                <w:color w:val="auto"/>
                <w:szCs w:val="21"/>
                <w:highlight w:val="none"/>
              </w:rPr>
              <w:sym w:font="Symbol" w:char="00B4"/>
            </w:r>
            <w:r>
              <w:rPr>
                <w:rFonts w:hint="eastAsia" w:ascii="宋体" w:hAnsi="宋体" w:cs="宋体"/>
                <w:color w:val="auto"/>
                <w:szCs w:val="21"/>
                <w:highlight w:val="none"/>
              </w:rPr>
              <w:t>1000</w:t>
            </w:r>
          </w:p>
        </w:tc>
        <w:tc>
          <w:tcPr>
            <w:tcW w:w="1133"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有维护</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25</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25</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25</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25</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25</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20</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20</w:t>
            </w:r>
          </w:p>
        </w:tc>
        <w:tc>
          <w:tcPr>
            <w:tcW w:w="851"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15</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1419" w:type="dxa"/>
            <w:gridSpan w:val="2"/>
            <w:vMerge w:val="continue"/>
            <w:vAlign w:val="center"/>
          </w:tcPr>
          <w:p>
            <w:pPr>
              <w:spacing w:line="360" w:lineRule="auto"/>
              <w:ind w:left="-2" w:leftChars="-1" w:firstLine="2"/>
              <w:rPr>
                <w:rFonts w:hint="eastAsia" w:ascii="宋体" w:hAnsi="宋体" w:cs="宋体"/>
                <w:b/>
                <w:color w:val="auto"/>
                <w:szCs w:val="21"/>
                <w:highlight w:val="none"/>
                <w:lang w:val="fr-FR"/>
              </w:rPr>
            </w:pPr>
          </w:p>
        </w:tc>
        <w:tc>
          <w:tcPr>
            <w:tcW w:w="1133"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免维护</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12</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12</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12</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12</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12</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w:t>
            </w:r>
          </w:p>
        </w:tc>
        <w:tc>
          <w:tcPr>
            <w:tcW w:w="851"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2552" w:type="dxa"/>
            <w:gridSpan w:val="3"/>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免维护电气寿命</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（CO循环）</w:t>
            </w:r>
            <w:r>
              <w:rPr>
                <w:rFonts w:hint="eastAsia" w:ascii="宋体" w:hAnsi="宋体" w:cs="宋体"/>
                <w:color w:val="auto"/>
                <w:szCs w:val="21"/>
                <w:highlight w:val="none"/>
              </w:rPr>
              <w:sym w:font="Symbol" w:char="00B4"/>
            </w:r>
            <w:r>
              <w:rPr>
                <w:rFonts w:hint="eastAsia" w:ascii="宋体" w:hAnsi="宋体" w:cs="宋体"/>
                <w:color w:val="auto"/>
                <w:szCs w:val="21"/>
                <w:highlight w:val="none"/>
              </w:rPr>
              <w:t>1000</w:t>
            </w:r>
          </w:p>
        </w:tc>
        <w:tc>
          <w:tcPr>
            <w:tcW w:w="709"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rPr>
              <w:t>12</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12</w:t>
            </w:r>
          </w:p>
        </w:tc>
        <w:tc>
          <w:tcPr>
            <w:tcW w:w="709"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rPr>
              <w:t>12</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12</w:t>
            </w:r>
          </w:p>
        </w:tc>
        <w:tc>
          <w:tcPr>
            <w:tcW w:w="709" w:type="dxa"/>
            <w:vAlign w:val="center"/>
          </w:tcPr>
          <w:p>
            <w:pPr>
              <w:spacing w:line="360" w:lineRule="auto"/>
              <w:ind w:left="-2" w:leftChars="-1" w:firstLine="2"/>
              <w:rPr>
                <w:rFonts w:hint="eastAsia" w:ascii="宋体" w:hAnsi="宋体" w:cs="宋体"/>
                <w:color w:val="auto"/>
                <w:szCs w:val="21"/>
                <w:highlight w:val="none"/>
                <w:lang w:val="en-GB"/>
              </w:rPr>
            </w:pPr>
            <w:r>
              <w:rPr>
                <w:rFonts w:hint="eastAsia" w:ascii="宋体" w:hAnsi="宋体" w:cs="宋体"/>
                <w:color w:val="auto"/>
                <w:szCs w:val="21"/>
                <w:highlight w:val="none"/>
              </w:rPr>
              <w:t>12</w:t>
            </w:r>
          </w:p>
        </w:tc>
        <w:tc>
          <w:tcPr>
            <w:tcW w:w="708"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12</w:t>
            </w:r>
          </w:p>
        </w:tc>
        <w:tc>
          <w:tcPr>
            <w:tcW w:w="709"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12</w:t>
            </w:r>
          </w:p>
        </w:tc>
        <w:tc>
          <w:tcPr>
            <w:tcW w:w="851"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7</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exact"/>
        </w:trPr>
        <w:tc>
          <w:tcPr>
            <w:tcW w:w="2552" w:type="dxa"/>
            <w:gridSpan w:val="3"/>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安装型式</w:t>
            </w:r>
          </w:p>
        </w:tc>
        <w:tc>
          <w:tcPr>
            <w:tcW w:w="5812" w:type="dxa"/>
            <w:gridSpan w:val="8"/>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抽出式</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456" w:hRule="exact"/>
        </w:trPr>
        <w:tc>
          <w:tcPr>
            <w:tcW w:w="476"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应</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配</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部</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件</w:t>
            </w:r>
          </w:p>
        </w:tc>
        <w:tc>
          <w:tcPr>
            <w:tcW w:w="2076" w:type="dxa"/>
            <w:gridSpan w:val="2"/>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电动操作机构</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操作计数器</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辅助触点</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闭锁装置</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智能控制单元（内置或外挂）</w:t>
            </w:r>
          </w:p>
        </w:tc>
        <w:tc>
          <w:tcPr>
            <w:tcW w:w="5812" w:type="dxa"/>
            <w:gridSpan w:val="8"/>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w:t>
            </w:r>
          </w:p>
        </w:tc>
      </w:tr>
    </w:tbl>
    <w:p>
      <w:pPr>
        <w:spacing w:line="360" w:lineRule="auto"/>
        <w:ind w:left="-2" w:leftChars="-1" w:firstLine="2"/>
        <w:rPr>
          <w:rFonts w:hint="eastAsia" w:ascii="宋体" w:hAnsi="宋体" w:cs="宋体"/>
          <w:color w:val="auto"/>
          <w:szCs w:val="21"/>
          <w:highlight w:val="none"/>
        </w:rPr>
      </w:pP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附注：进线、母联开关采用4极开关，其余开关采用3极开关。</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 xml:space="preserve">      短路分断能力加*的为馈线回路，未加*为进线回路。</w:t>
      </w:r>
    </w:p>
    <w:p>
      <w:pPr>
        <w:numPr>
          <w:ilvl w:val="0"/>
          <w:numId w:val="11"/>
        </w:numPr>
        <w:tabs>
          <w:tab w:val="left" w:pos="420"/>
        </w:tabs>
        <w:spacing w:line="360" w:lineRule="auto"/>
        <w:ind w:left="851" w:hanging="431"/>
        <w:rPr>
          <w:rFonts w:hint="eastAsia" w:ascii="宋体" w:hAnsi="宋体" w:cs="宋体"/>
          <w:color w:val="auto"/>
          <w:szCs w:val="21"/>
          <w:highlight w:val="none"/>
          <w:lang w:val="en-GB"/>
        </w:rPr>
      </w:pPr>
      <w:r>
        <w:rPr>
          <w:rFonts w:hint="eastAsia" w:ascii="宋体" w:hAnsi="宋体" w:cs="宋体"/>
          <w:color w:val="auto"/>
          <w:szCs w:val="21"/>
          <w:highlight w:val="none"/>
          <w:lang w:val="en-GB"/>
        </w:rPr>
        <w:t>断路器有容易操作的人机界面，中文菜单，便于进行参数设定、查看有关历史记录、显示运行参数及数字表计等，具有编辑、记忆、显示、预告、报警等功能。人机界面和框架断路器应选择同一厂家的高端系列产品。</w:t>
      </w:r>
    </w:p>
    <w:p>
      <w:pPr>
        <w:numPr>
          <w:ilvl w:val="0"/>
          <w:numId w:val="11"/>
        </w:numPr>
        <w:tabs>
          <w:tab w:val="left" w:pos="420"/>
        </w:tabs>
        <w:spacing w:line="360" w:lineRule="auto"/>
        <w:ind w:left="851" w:hanging="431"/>
        <w:rPr>
          <w:rFonts w:hint="eastAsia" w:ascii="宋体" w:hAnsi="宋体" w:cs="宋体"/>
          <w:color w:val="auto"/>
          <w:szCs w:val="21"/>
          <w:highlight w:val="none"/>
          <w:lang w:val="en-GB"/>
        </w:rPr>
      </w:pPr>
      <w:r>
        <w:rPr>
          <w:rFonts w:hint="eastAsia" w:ascii="宋体" w:hAnsi="宋体" w:cs="宋体"/>
          <w:color w:val="auto"/>
          <w:szCs w:val="21"/>
          <w:highlight w:val="none"/>
          <w:lang w:val="en-GB"/>
        </w:rPr>
        <w:t>框架式断路器应具有对脱扣与报警事件的记忆功能以方便查询。</w:t>
      </w:r>
    </w:p>
    <w:p>
      <w:pPr>
        <w:numPr>
          <w:ilvl w:val="0"/>
          <w:numId w:val="11"/>
        </w:numPr>
        <w:tabs>
          <w:tab w:val="left" w:pos="420"/>
        </w:tabs>
        <w:spacing w:line="360" w:lineRule="auto"/>
        <w:ind w:left="851" w:hanging="431"/>
        <w:rPr>
          <w:rFonts w:hint="eastAsia" w:ascii="宋体" w:hAnsi="宋体" w:cs="宋体"/>
          <w:color w:val="auto"/>
          <w:szCs w:val="21"/>
          <w:highlight w:val="none"/>
          <w:lang w:val="en-GB"/>
        </w:rPr>
      </w:pPr>
      <w:r>
        <w:rPr>
          <w:rFonts w:hint="eastAsia" w:ascii="宋体" w:hAnsi="宋体" w:cs="宋体"/>
          <w:color w:val="auto"/>
          <w:szCs w:val="21"/>
          <w:highlight w:val="none"/>
          <w:lang w:val="en-GB"/>
        </w:rPr>
        <w:t>为保证低压配电系统可靠运行工作，框架断路器及其附件选用同一知名品牌产品为宜，</w:t>
      </w:r>
      <w:r>
        <w:rPr>
          <w:rFonts w:hint="eastAsia" w:ascii="宋体" w:hAnsi="宋体" w:cs="宋体"/>
          <w:color w:val="auto"/>
          <w:szCs w:val="21"/>
          <w:highlight w:val="none"/>
          <w:lang w:val="en-GB"/>
        </w:rPr>
        <w:t>选用品质不低于ABB E系列框架断路器、SchneiderMT系列H2型或以上框架断路器、Siemens 3WL系列的H型或以上框架断路器等。</w:t>
      </w:r>
    </w:p>
    <w:p>
      <w:pPr>
        <w:tabs>
          <w:tab w:val="left" w:pos="420"/>
        </w:tabs>
        <w:spacing w:line="360" w:lineRule="auto"/>
        <w:ind w:left="420"/>
        <w:rPr>
          <w:rFonts w:hint="eastAsia" w:ascii="宋体" w:hAnsi="宋体" w:cs="宋体"/>
          <w:color w:val="auto"/>
          <w:szCs w:val="21"/>
          <w:highlight w:val="none"/>
          <w:lang w:val="en-GB"/>
        </w:rPr>
      </w:pPr>
      <w:r>
        <w:rPr>
          <w:rFonts w:hint="eastAsia" w:ascii="宋体" w:hAnsi="宋体" w:cs="宋体"/>
          <w:color w:val="auto"/>
          <w:szCs w:val="21"/>
          <w:highlight w:val="none"/>
        </w:rPr>
        <w:t>1.3.</w:t>
      </w:r>
      <w:r>
        <w:rPr>
          <w:rFonts w:hint="eastAsia" w:ascii="宋体" w:hAnsi="宋体" w:cs="宋体"/>
          <w:color w:val="auto"/>
          <w:szCs w:val="21"/>
          <w:highlight w:val="none"/>
          <w:lang w:val="en-GB"/>
        </w:rPr>
        <w:t>6.3低压交流塑壳式断路器</w:t>
      </w:r>
    </w:p>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塑壳式断路器主要用于抽屉柜的馈出回路。应符合下列主要技术要求：</w:t>
      </w:r>
    </w:p>
    <w:p>
      <w:pPr>
        <w:numPr>
          <w:ilvl w:val="0"/>
          <w:numId w:val="12"/>
        </w:num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满足系统电压、电流、频率以及分断能力的性能水平要求。</w:t>
      </w:r>
    </w:p>
    <w:p>
      <w:pPr>
        <w:numPr>
          <w:ilvl w:val="0"/>
          <w:numId w:val="12"/>
        </w:num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断路器应为模块化结构设计、安装方便，并可加装各种附件（如分励脱扣器、辅助触头、报警触头）而无需改变断路器结构和低压开关柜结构，同时面板、附件为标准化设计。塑壳开关相间应设置隔弧板，保证相间绝缘良好。</w:t>
      </w:r>
    </w:p>
    <w:p>
      <w:pPr>
        <w:numPr>
          <w:ilvl w:val="0"/>
          <w:numId w:val="12"/>
        </w:num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断路器无飞弧。</w:t>
      </w:r>
    </w:p>
    <w:p>
      <w:pPr>
        <w:numPr>
          <w:ilvl w:val="0"/>
          <w:numId w:val="12"/>
        </w:num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当采用固定抽出式安装时，其二次回路亦应具有插接式整体连接装置。</w:t>
      </w:r>
    </w:p>
    <w:p>
      <w:pPr>
        <w:numPr>
          <w:ilvl w:val="0"/>
          <w:numId w:val="12"/>
        </w:num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塑壳断路器应为抗湿热型产品。</w:t>
      </w:r>
    </w:p>
    <w:p>
      <w:pPr>
        <w:numPr>
          <w:ilvl w:val="0"/>
          <w:numId w:val="12"/>
        </w:num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为保证低压配电系统可靠运行工作，参考已建成项目的工程经验，建议塑壳断路器、接触器选用知名品牌产品，</w:t>
      </w:r>
      <w:r>
        <w:rPr>
          <w:rFonts w:hint="eastAsia" w:ascii="宋体" w:hAnsi="宋体" w:cs="宋体"/>
          <w:color w:val="auto"/>
          <w:szCs w:val="21"/>
          <w:highlight w:val="none"/>
        </w:rPr>
        <w:t xml:space="preserve">品质不低于ABB </w:t>
      </w:r>
      <w:r>
        <w:rPr>
          <w:rFonts w:ascii="宋体" w:hAnsi="宋体" w:cs="宋体"/>
          <w:color w:val="auto"/>
          <w:szCs w:val="21"/>
          <w:highlight w:val="none"/>
        </w:rPr>
        <w:t>Formula</w:t>
      </w:r>
      <w:r>
        <w:rPr>
          <w:rFonts w:hint="eastAsia" w:ascii="宋体" w:hAnsi="宋体" w:cs="宋体"/>
          <w:color w:val="auto"/>
          <w:szCs w:val="21"/>
          <w:highlight w:val="none"/>
        </w:rPr>
        <w:t>系列开关﹑施耐德 NSX系列开关﹑西门子3VL系列开关等品牌。</w:t>
      </w:r>
    </w:p>
    <w:p>
      <w:pPr>
        <w:numPr>
          <w:ilvl w:val="0"/>
          <w:numId w:val="12"/>
        </w:num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低压交流塑壳式断路器的电气技术性能及参数见下表。</w:t>
      </w:r>
    </w:p>
    <w:p>
      <w:pPr>
        <w:spacing w:line="360" w:lineRule="auto"/>
        <w:ind w:left="-2" w:leftChars="-1" w:firstLine="2"/>
        <w:jc w:val="center"/>
        <w:rPr>
          <w:rFonts w:hint="eastAsia" w:ascii="宋体" w:hAnsi="宋体" w:cs="宋体"/>
          <w:color w:val="auto"/>
          <w:szCs w:val="21"/>
          <w:highlight w:val="none"/>
        </w:rPr>
      </w:pPr>
      <w:r>
        <w:rPr>
          <w:rFonts w:hint="eastAsia" w:ascii="宋体" w:hAnsi="宋体" w:cs="宋体"/>
          <w:color w:val="auto"/>
          <w:szCs w:val="21"/>
          <w:highlight w:val="none"/>
        </w:rPr>
        <w:t>塑壳断路器电气技术性能及参数</w:t>
      </w:r>
    </w:p>
    <w:tbl>
      <w:tblPr>
        <w:tblStyle w:val="15"/>
        <w:tblW w:w="0" w:type="auto"/>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2215"/>
        <w:gridCol w:w="996"/>
        <w:gridCol w:w="997"/>
        <w:gridCol w:w="999"/>
        <w:gridCol w:w="995"/>
        <w:gridCol w:w="1011"/>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2912" w:type="dxa"/>
            <w:gridSpan w:val="2"/>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额定电流（A）</w:t>
            </w:r>
          </w:p>
        </w:tc>
        <w:tc>
          <w:tcPr>
            <w:tcW w:w="996"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100</w:t>
            </w:r>
          </w:p>
        </w:tc>
        <w:tc>
          <w:tcPr>
            <w:tcW w:w="997"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160</w:t>
            </w:r>
          </w:p>
        </w:tc>
        <w:tc>
          <w:tcPr>
            <w:tcW w:w="994"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250</w:t>
            </w:r>
          </w:p>
        </w:tc>
        <w:tc>
          <w:tcPr>
            <w:tcW w:w="995"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400</w:t>
            </w:r>
          </w:p>
        </w:tc>
        <w:tc>
          <w:tcPr>
            <w:tcW w:w="1011" w:type="dxa"/>
            <w:vAlign w:val="center"/>
          </w:tcPr>
          <w:p>
            <w:pPr>
              <w:spacing w:line="360" w:lineRule="auto"/>
              <w:ind w:left="-2" w:leftChars="-1" w:firstLine="2"/>
              <w:rPr>
                <w:rFonts w:hint="eastAsia" w:ascii="宋体" w:hAnsi="宋体" w:cs="宋体"/>
                <w:color w:val="auto"/>
                <w:szCs w:val="21"/>
                <w:highlight w:val="none"/>
              </w:rPr>
            </w:pPr>
            <w:bookmarkStart w:id="20" w:name="_Toc435021430"/>
            <w:bookmarkStart w:id="21" w:name="_Toc435018091"/>
            <w:r>
              <w:rPr>
                <w:rFonts w:hint="eastAsia" w:ascii="宋体" w:hAnsi="宋体" w:cs="宋体"/>
                <w:color w:val="auto"/>
                <w:szCs w:val="21"/>
                <w:highlight w:val="none"/>
              </w:rPr>
              <w:t>630</w:t>
            </w:r>
            <w:bookmarkEnd w:id="20"/>
            <w:bookmarkEnd w:id="21"/>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2912" w:type="dxa"/>
            <w:gridSpan w:val="2"/>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额定绝缘电压（V）</w:t>
            </w:r>
          </w:p>
        </w:tc>
        <w:tc>
          <w:tcPr>
            <w:tcW w:w="996"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800</w:t>
            </w:r>
          </w:p>
        </w:tc>
        <w:tc>
          <w:tcPr>
            <w:tcW w:w="997"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800</w:t>
            </w:r>
          </w:p>
        </w:tc>
        <w:tc>
          <w:tcPr>
            <w:tcW w:w="994"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800</w:t>
            </w:r>
          </w:p>
        </w:tc>
        <w:tc>
          <w:tcPr>
            <w:tcW w:w="995"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800</w:t>
            </w:r>
          </w:p>
        </w:tc>
        <w:tc>
          <w:tcPr>
            <w:tcW w:w="1011" w:type="dxa"/>
            <w:vAlign w:val="center"/>
          </w:tcPr>
          <w:p>
            <w:pPr>
              <w:spacing w:line="360" w:lineRule="auto"/>
              <w:ind w:left="-2" w:leftChars="-1" w:firstLine="2"/>
              <w:rPr>
                <w:rFonts w:hint="eastAsia" w:ascii="宋体" w:hAnsi="宋体" w:cs="宋体"/>
                <w:color w:val="auto"/>
                <w:szCs w:val="21"/>
                <w:highlight w:val="none"/>
              </w:rPr>
            </w:pPr>
            <w:bookmarkStart w:id="22" w:name="_Toc435018092"/>
            <w:bookmarkStart w:id="23" w:name="_Toc435021431"/>
            <w:r>
              <w:rPr>
                <w:rFonts w:hint="eastAsia" w:ascii="宋体" w:hAnsi="宋体" w:cs="宋体"/>
                <w:color w:val="auto"/>
                <w:szCs w:val="21"/>
                <w:highlight w:val="none"/>
              </w:rPr>
              <w:t>800</w:t>
            </w:r>
            <w:bookmarkEnd w:id="22"/>
            <w:bookmarkEnd w:id="23"/>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2912" w:type="dxa"/>
            <w:gridSpan w:val="2"/>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额定冲击耐受电压（KV）</w:t>
            </w:r>
          </w:p>
        </w:tc>
        <w:tc>
          <w:tcPr>
            <w:tcW w:w="996"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w:t>
            </w:r>
          </w:p>
        </w:tc>
        <w:tc>
          <w:tcPr>
            <w:tcW w:w="997"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w:t>
            </w:r>
          </w:p>
        </w:tc>
        <w:tc>
          <w:tcPr>
            <w:tcW w:w="994"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w:t>
            </w:r>
          </w:p>
        </w:tc>
        <w:tc>
          <w:tcPr>
            <w:tcW w:w="995"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w:t>
            </w:r>
          </w:p>
        </w:tc>
        <w:tc>
          <w:tcPr>
            <w:tcW w:w="1011" w:type="dxa"/>
            <w:vAlign w:val="center"/>
          </w:tcPr>
          <w:p>
            <w:pPr>
              <w:spacing w:line="360" w:lineRule="auto"/>
              <w:ind w:left="-2" w:leftChars="-1" w:firstLine="2"/>
              <w:rPr>
                <w:rFonts w:hint="eastAsia" w:ascii="宋体" w:hAnsi="宋体" w:cs="宋体"/>
                <w:color w:val="auto"/>
                <w:szCs w:val="21"/>
                <w:highlight w:val="none"/>
              </w:rPr>
            </w:pPr>
            <w:bookmarkStart w:id="24" w:name="_Toc435021432"/>
            <w:bookmarkStart w:id="25" w:name="_Toc435018093"/>
            <w:r>
              <w:rPr>
                <w:rFonts w:hint="eastAsia" w:ascii="宋体" w:hAnsi="宋体" w:cs="宋体"/>
                <w:color w:val="auto"/>
                <w:szCs w:val="21"/>
                <w:highlight w:val="none"/>
              </w:rPr>
              <w:t>8</w:t>
            </w:r>
            <w:bookmarkEnd w:id="24"/>
            <w:bookmarkEnd w:id="25"/>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2912" w:type="dxa"/>
            <w:gridSpan w:val="2"/>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额定工作电压（V）</w:t>
            </w:r>
          </w:p>
        </w:tc>
        <w:tc>
          <w:tcPr>
            <w:tcW w:w="996"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400</w:t>
            </w:r>
          </w:p>
        </w:tc>
        <w:tc>
          <w:tcPr>
            <w:tcW w:w="997"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400</w:t>
            </w:r>
          </w:p>
        </w:tc>
        <w:tc>
          <w:tcPr>
            <w:tcW w:w="994"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400</w:t>
            </w:r>
          </w:p>
        </w:tc>
        <w:tc>
          <w:tcPr>
            <w:tcW w:w="995"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400</w:t>
            </w:r>
          </w:p>
        </w:tc>
        <w:tc>
          <w:tcPr>
            <w:tcW w:w="1011" w:type="dxa"/>
            <w:vAlign w:val="center"/>
          </w:tcPr>
          <w:p>
            <w:pPr>
              <w:spacing w:line="360" w:lineRule="auto"/>
              <w:ind w:left="-2" w:leftChars="-1" w:firstLine="2"/>
              <w:rPr>
                <w:rFonts w:hint="eastAsia" w:ascii="宋体" w:hAnsi="宋体" w:cs="宋体"/>
                <w:color w:val="auto"/>
                <w:szCs w:val="21"/>
                <w:highlight w:val="none"/>
              </w:rPr>
            </w:pPr>
            <w:bookmarkStart w:id="26" w:name="_Toc435018094"/>
            <w:bookmarkStart w:id="27" w:name="_Toc435021433"/>
            <w:r>
              <w:rPr>
                <w:rFonts w:hint="eastAsia" w:ascii="宋体" w:hAnsi="宋体" w:cs="宋体"/>
                <w:color w:val="auto"/>
                <w:szCs w:val="21"/>
                <w:highlight w:val="none"/>
              </w:rPr>
              <w:t>400</w:t>
            </w:r>
            <w:bookmarkEnd w:id="26"/>
            <w:bookmarkEnd w:id="27"/>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2912" w:type="dxa"/>
            <w:gridSpan w:val="2"/>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极限分断能力Icu（KA）</w:t>
            </w:r>
          </w:p>
        </w:tc>
        <w:tc>
          <w:tcPr>
            <w:tcW w:w="996"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85</w:t>
            </w:r>
          </w:p>
        </w:tc>
        <w:tc>
          <w:tcPr>
            <w:tcW w:w="997"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85</w:t>
            </w:r>
          </w:p>
        </w:tc>
        <w:tc>
          <w:tcPr>
            <w:tcW w:w="994"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85</w:t>
            </w:r>
          </w:p>
        </w:tc>
        <w:tc>
          <w:tcPr>
            <w:tcW w:w="995"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85</w:t>
            </w:r>
          </w:p>
        </w:tc>
        <w:tc>
          <w:tcPr>
            <w:tcW w:w="1011" w:type="dxa"/>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85</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2912" w:type="dxa"/>
            <w:gridSpan w:val="2"/>
            <w:tcBorders>
              <w:bottom w:val="single" w:color="auto" w:sz="4" w:space="0"/>
              <w:right w:val="nil"/>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使用分断能力（Ics）</w:t>
            </w:r>
          </w:p>
        </w:tc>
        <w:tc>
          <w:tcPr>
            <w:tcW w:w="996" w:type="dxa"/>
            <w:tcBorders>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100%</w:t>
            </w:r>
          </w:p>
        </w:tc>
        <w:tc>
          <w:tcPr>
            <w:tcW w:w="997" w:type="dxa"/>
            <w:tcBorders>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100%</w:t>
            </w:r>
          </w:p>
        </w:tc>
        <w:tc>
          <w:tcPr>
            <w:tcW w:w="994" w:type="dxa"/>
            <w:tcBorders>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100%</w:t>
            </w:r>
          </w:p>
        </w:tc>
        <w:tc>
          <w:tcPr>
            <w:tcW w:w="995" w:type="dxa"/>
            <w:tcBorders>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100%</w:t>
            </w:r>
          </w:p>
        </w:tc>
        <w:tc>
          <w:tcPr>
            <w:tcW w:w="1011" w:type="dxa"/>
            <w:tcBorders>
              <w:bottom w:val="single" w:color="auto" w:sz="4" w:space="0"/>
            </w:tcBorders>
            <w:vAlign w:val="center"/>
          </w:tcPr>
          <w:p>
            <w:pPr>
              <w:spacing w:line="360" w:lineRule="auto"/>
              <w:ind w:left="-2" w:leftChars="-1" w:firstLine="2"/>
              <w:rPr>
                <w:rFonts w:hint="eastAsia" w:ascii="宋体" w:hAnsi="宋体" w:cs="宋体"/>
                <w:color w:val="auto"/>
                <w:szCs w:val="21"/>
                <w:highlight w:val="none"/>
              </w:rPr>
            </w:pPr>
            <w:bookmarkStart w:id="28" w:name="_Toc435021435"/>
            <w:bookmarkStart w:id="29" w:name="_Toc435018096"/>
            <w:r>
              <w:rPr>
                <w:rFonts w:hint="eastAsia" w:ascii="宋体" w:hAnsi="宋体" w:cs="宋体"/>
                <w:color w:val="auto"/>
                <w:szCs w:val="21"/>
                <w:highlight w:val="none"/>
              </w:rPr>
              <w:t>100%</w:t>
            </w:r>
            <w:bookmarkEnd w:id="28"/>
            <w:bookmarkEnd w:id="29"/>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2912" w:type="dxa"/>
            <w:gridSpan w:val="2"/>
            <w:tcBorders>
              <w:bottom w:val="single" w:color="auto" w:sz="4" w:space="0"/>
              <w:right w:val="nil"/>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机械寿命（次）</w:t>
            </w:r>
          </w:p>
        </w:tc>
        <w:tc>
          <w:tcPr>
            <w:tcW w:w="996" w:type="dxa"/>
            <w:tcBorders>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25000</w:t>
            </w:r>
          </w:p>
        </w:tc>
        <w:tc>
          <w:tcPr>
            <w:tcW w:w="997" w:type="dxa"/>
            <w:tcBorders>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20000</w:t>
            </w:r>
          </w:p>
        </w:tc>
        <w:tc>
          <w:tcPr>
            <w:tcW w:w="994" w:type="dxa"/>
            <w:tcBorders>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10000</w:t>
            </w:r>
          </w:p>
        </w:tc>
        <w:tc>
          <w:tcPr>
            <w:tcW w:w="995" w:type="dxa"/>
            <w:tcBorders>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6000</w:t>
            </w:r>
          </w:p>
        </w:tc>
        <w:tc>
          <w:tcPr>
            <w:tcW w:w="1011" w:type="dxa"/>
            <w:tcBorders>
              <w:bottom w:val="single" w:color="auto" w:sz="4" w:space="0"/>
            </w:tcBorders>
            <w:vAlign w:val="center"/>
          </w:tcPr>
          <w:p>
            <w:pPr>
              <w:spacing w:line="360" w:lineRule="auto"/>
              <w:ind w:left="-2" w:leftChars="-1" w:firstLine="2"/>
              <w:rPr>
                <w:rFonts w:hint="eastAsia" w:ascii="宋体" w:hAnsi="宋体" w:cs="宋体"/>
                <w:color w:val="auto"/>
                <w:szCs w:val="21"/>
                <w:highlight w:val="none"/>
              </w:rPr>
            </w:pPr>
            <w:bookmarkStart w:id="30" w:name="_Toc435018097"/>
            <w:bookmarkStart w:id="31" w:name="_Toc435021436"/>
            <w:r>
              <w:rPr>
                <w:rFonts w:hint="eastAsia" w:ascii="宋体" w:hAnsi="宋体" w:cs="宋体"/>
                <w:color w:val="auto"/>
                <w:szCs w:val="21"/>
                <w:highlight w:val="none"/>
              </w:rPr>
              <w:t>6000</w:t>
            </w:r>
            <w:bookmarkEnd w:id="30"/>
            <w:bookmarkEnd w:id="31"/>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exact"/>
          <w:jc w:val="center"/>
        </w:trPr>
        <w:tc>
          <w:tcPr>
            <w:tcW w:w="2912" w:type="dxa"/>
            <w:gridSpan w:val="2"/>
            <w:tcBorders>
              <w:bottom w:val="single" w:color="auto" w:sz="4" w:space="0"/>
              <w:right w:val="nil"/>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电气寿命（次）</w:t>
            </w:r>
          </w:p>
        </w:tc>
        <w:tc>
          <w:tcPr>
            <w:tcW w:w="996" w:type="dxa"/>
            <w:tcBorders>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8000</w:t>
            </w:r>
          </w:p>
        </w:tc>
        <w:tc>
          <w:tcPr>
            <w:tcW w:w="997" w:type="dxa"/>
            <w:tcBorders>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8000</w:t>
            </w:r>
          </w:p>
        </w:tc>
        <w:tc>
          <w:tcPr>
            <w:tcW w:w="994" w:type="dxa"/>
            <w:tcBorders>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8000</w:t>
            </w:r>
          </w:p>
        </w:tc>
        <w:tc>
          <w:tcPr>
            <w:tcW w:w="995" w:type="dxa"/>
            <w:tcBorders>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5000</w:t>
            </w:r>
          </w:p>
        </w:tc>
        <w:tc>
          <w:tcPr>
            <w:tcW w:w="1011" w:type="dxa"/>
            <w:tcBorders>
              <w:bottom w:val="single" w:color="auto" w:sz="4" w:space="0"/>
            </w:tcBorders>
            <w:vAlign w:val="center"/>
          </w:tcPr>
          <w:p>
            <w:pPr>
              <w:spacing w:line="360" w:lineRule="auto"/>
              <w:ind w:left="-2" w:leftChars="-1" w:firstLine="2"/>
              <w:rPr>
                <w:rFonts w:hint="eastAsia" w:ascii="宋体" w:hAnsi="宋体" w:cs="宋体"/>
                <w:color w:val="auto"/>
                <w:szCs w:val="21"/>
                <w:highlight w:val="none"/>
              </w:rPr>
            </w:pPr>
            <w:bookmarkStart w:id="32" w:name="_Toc435018098"/>
            <w:bookmarkStart w:id="33" w:name="_Toc435021437"/>
            <w:r>
              <w:rPr>
                <w:rFonts w:hint="eastAsia" w:ascii="宋体" w:hAnsi="宋体" w:cs="宋体"/>
                <w:color w:val="auto"/>
                <w:szCs w:val="21"/>
                <w:highlight w:val="none"/>
              </w:rPr>
              <w:t>5000</w:t>
            </w:r>
            <w:bookmarkEnd w:id="32"/>
            <w:bookmarkEnd w:id="33"/>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912" w:type="dxa"/>
            <w:gridSpan w:val="2"/>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极数</w:t>
            </w:r>
          </w:p>
        </w:tc>
        <w:tc>
          <w:tcPr>
            <w:tcW w:w="4993" w:type="dxa"/>
            <w:gridSpan w:val="5"/>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进线开关4极，出线开关3极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97" w:type="dxa"/>
            <w:vMerge w:val="restart"/>
            <w:tcBorders>
              <w:right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可配附件</w:t>
            </w:r>
          </w:p>
        </w:tc>
        <w:tc>
          <w:tcPr>
            <w:tcW w:w="2215" w:type="dxa"/>
            <w:tcBorders>
              <w:left w:val="single" w:color="auto" w:sz="4" w:space="0"/>
              <w:right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分励脱扣器</w:t>
            </w:r>
          </w:p>
        </w:tc>
        <w:tc>
          <w:tcPr>
            <w:tcW w:w="996" w:type="dxa"/>
            <w:tcBorders>
              <w:top w:val="nil"/>
              <w:left w:val="single" w:color="auto" w:sz="4" w:space="0"/>
              <w:bottom w:val="single" w:color="auto" w:sz="4" w:space="0"/>
              <w:right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有</w:t>
            </w:r>
          </w:p>
        </w:tc>
        <w:tc>
          <w:tcPr>
            <w:tcW w:w="997" w:type="dxa"/>
            <w:tcBorders>
              <w:top w:val="nil"/>
              <w:left w:val="single" w:color="auto" w:sz="4" w:space="0"/>
              <w:bottom w:val="single" w:color="auto" w:sz="4" w:space="0"/>
              <w:right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有</w:t>
            </w:r>
          </w:p>
        </w:tc>
        <w:tc>
          <w:tcPr>
            <w:tcW w:w="994" w:type="dxa"/>
            <w:tcBorders>
              <w:top w:val="nil"/>
              <w:left w:val="single" w:color="auto" w:sz="4" w:space="0"/>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有</w:t>
            </w:r>
          </w:p>
        </w:tc>
        <w:tc>
          <w:tcPr>
            <w:tcW w:w="995" w:type="dxa"/>
            <w:tcBorders>
              <w:top w:val="nil"/>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有</w:t>
            </w:r>
          </w:p>
        </w:tc>
        <w:tc>
          <w:tcPr>
            <w:tcW w:w="1011" w:type="dxa"/>
            <w:tcBorders>
              <w:top w:val="nil"/>
              <w:bottom w:val="single" w:color="auto" w:sz="4" w:space="0"/>
            </w:tcBorders>
            <w:vAlign w:val="center"/>
          </w:tcPr>
          <w:p>
            <w:pPr>
              <w:spacing w:line="360" w:lineRule="auto"/>
              <w:ind w:left="-2" w:leftChars="-1" w:firstLine="2"/>
              <w:rPr>
                <w:rFonts w:hint="eastAsia" w:ascii="宋体" w:hAnsi="宋体" w:cs="宋体"/>
                <w:color w:val="auto"/>
                <w:szCs w:val="21"/>
                <w:highlight w:val="none"/>
              </w:rPr>
            </w:pPr>
            <w:bookmarkStart w:id="34" w:name="_Toc435021438"/>
            <w:bookmarkStart w:id="35" w:name="_Toc435018099"/>
            <w:r>
              <w:rPr>
                <w:rFonts w:hint="eastAsia" w:ascii="宋体" w:hAnsi="宋体" w:cs="宋体"/>
                <w:color w:val="auto"/>
                <w:szCs w:val="21"/>
                <w:highlight w:val="none"/>
              </w:rPr>
              <w:t>有</w:t>
            </w:r>
            <w:bookmarkEnd w:id="34"/>
            <w:bookmarkEnd w:id="35"/>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97" w:type="dxa"/>
            <w:vMerge w:val="continue"/>
            <w:tcBorders>
              <w:right w:val="single" w:color="auto" w:sz="4" w:space="0"/>
            </w:tcBorders>
            <w:vAlign w:val="center"/>
          </w:tcPr>
          <w:p>
            <w:pPr>
              <w:spacing w:line="360" w:lineRule="auto"/>
              <w:ind w:left="-2" w:leftChars="-1" w:firstLine="2"/>
              <w:rPr>
                <w:rFonts w:hint="eastAsia" w:ascii="宋体" w:hAnsi="宋体" w:cs="宋体"/>
                <w:b/>
                <w:color w:val="auto"/>
                <w:szCs w:val="21"/>
                <w:highlight w:val="none"/>
                <w:lang w:val="fr-FR"/>
              </w:rPr>
            </w:pPr>
          </w:p>
        </w:tc>
        <w:tc>
          <w:tcPr>
            <w:tcW w:w="2215" w:type="dxa"/>
            <w:tcBorders>
              <w:left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辅助触点</w:t>
            </w:r>
          </w:p>
        </w:tc>
        <w:tc>
          <w:tcPr>
            <w:tcW w:w="996" w:type="dxa"/>
            <w:tcBorders>
              <w:top w:val="single" w:color="auto" w:sz="4" w:space="0"/>
              <w:left w:val="single" w:color="auto" w:sz="4" w:space="0"/>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有</w:t>
            </w:r>
          </w:p>
        </w:tc>
        <w:tc>
          <w:tcPr>
            <w:tcW w:w="997" w:type="dxa"/>
            <w:tcBorders>
              <w:top w:val="single" w:color="auto" w:sz="4" w:space="0"/>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有</w:t>
            </w:r>
          </w:p>
        </w:tc>
        <w:tc>
          <w:tcPr>
            <w:tcW w:w="994" w:type="dxa"/>
            <w:tcBorders>
              <w:top w:val="single" w:color="auto" w:sz="4" w:space="0"/>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有</w:t>
            </w:r>
          </w:p>
        </w:tc>
        <w:tc>
          <w:tcPr>
            <w:tcW w:w="995" w:type="dxa"/>
            <w:tcBorders>
              <w:top w:val="single" w:color="auto" w:sz="4" w:space="0"/>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有</w:t>
            </w:r>
          </w:p>
        </w:tc>
        <w:tc>
          <w:tcPr>
            <w:tcW w:w="1011" w:type="dxa"/>
            <w:tcBorders>
              <w:top w:val="single" w:color="auto" w:sz="4" w:space="0"/>
              <w:bottom w:val="single" w:color="auto" w:sz="4" w:space="0"/>
            </w:tcBorders>
            <w:vAlign w:val="center"/>
          </w:tcPr>
          <w:p>
            <w:pPr>
              <w:spacing w:line="360" w:lineRule="auto"/>
              <w:ind w:left="-2" w:leftChars="-1" w:firstLine="2"/>
              <w:rPr>
                <w:rFonts w:hint="eastAsia" w:ascii="宋体" w:hAnsi="宋体" w:cs="宋体"/>
                <w:color w:val="auto"/>
                <w:szCs w:val="21"/>
                <w:highlight w:val="none"/>
              </w:rPr>
            </w:pPr>
            <w:bookmarkStart w:id="36" w:name="_Toc435021439"/>
            <w:bookmarkStart w:id="37" w:name="_Toc435018100"/>
            <w:r>
              <w:rPr>
                <w:rFonts w:hint="eastAsia" w:ascii="宋体" w:hAnsi="宋体" w:cs="宋体"/>
                <w:color w:val="auto"/>
                <w:szCs w:val="21"/>
                <w:highlight w:val="none"/>
              </w:rPr>
              <w:t>有</w:t>
            </w:r>
            <w:bookmarkEnd w:id="36"/>
            <w:bookmarkEnd w:id="37"/>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697" w:type="dxa"/>
            <w:vMerge w:val="continue"/>
            <w:tcBorders>
              <w:right w:val="single" w:color="auto" w:sz="4" w:space="0"/>
            </w:tcBorders>
            <w:vAlign w:val="center"/>
          </w:tcPr>
          <w:p>
            <w:pPr>
              <w:spacing w:line="360" w:lineRule="auto"/>
              <w:ind w:left="-2" w:leftChars="-1" w:firstLine="2"/>
              <w:rPr>
                <w:rFonts w:hint="eastAsia" w:ascii="宋体" w:hAnsi="宋体" w:cs="宋体"/>
                <w:b/>
                <w:color w:val="auto"/>
                <w:szCs w:val="21"/>
                <w:highlight w:val="none"/>
                <w:lang w:val="fr-FR"/>
              </w:rPr>
            </w:pPr>
          </w:p>
        </w:tc>
        <w:tc>
          <w:tcPr>
            <w:tcW w:w="2215" w:type="dxa"/>
            <w:tcBorders>
              <w:left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报警触点</w:t>
            </w:r>
          </w:p>
        </w:tc>
        <w:tc>
          <w:tcPr>
            <w:tcW w:w="996" w:type="dxa"/>
            <w:tcBorders>
              <w:top w:val="single" w:color="auto" w:sz="4" w:space="0"/>
              <w:left w:val="single" w:color="auto" w:sz="4" w:space="0"/>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有</w:t>
            </w:r>
          </w:p>
        </w:tc>
        <w:tc>
          <w:tcPr>
            <w:tcW w:w="997" w:type="dxa"/>
            <w:tcBorders>
              <w:top w:val="single" w:color="auto" w:sz="4" w:space="0"/>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有</w:t>
            </w:r>
          </w:p>
        </w:tc>
        <w:tc>
          <w:tcPr>
            <w:tcW w:w="994" w:type="dxa"/>
            <w:tcBorders>
              <w:top w:val="single" w:color="auto" w:sz="4" w:space="0"/>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有</w:t>
            </w:r>
          </w:p>
        </w:tc>
        <w:tc>
          <w:tcPr>
            <w:tcW w:w="995" w:type="dxa"/>
            <w:tcBorders>
              <w:top w:val="single" w:color="auto" w:sz="4" w:space="0"/>
              <w:bottom w:val="single" w:color="auto" w:sz="4" w:space="0"/>
            </w:tcBorders>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有</w:t>
            </w:r>
          </w:p>
        </w:tc>
        <w:tc>
          <w:tcPr>
            <w:tcW w:w="1011" w:type="dxa"/>
            <w:tcBorders>
              <w:top w:val="single" w:color="auto" w:sz="4" w:space="0"/>
              <w:bottom w:val="single" w:color="auto" w:sz="4" w:space="0"/>
            </w:tcBorders>
            <w:vAlign w:val="center"/>
          </w:tcPr>
          <w:p>
            <w:pPr>
              <w:spacing w:line="360" w:lineRule="auto"/>
              <w:ind w:left="-2" w:leftChars="-1" w:firstLine="2"/>
              <w:rPr>
                <w:rFonts w:hint="eastAsia" w:ascii="宋体" w:hAnsi="宋体" w:cs="宋体"/>
                <w:color w:val="auto"/>
                <w:szCs w:val="21"/>
                <w:highlight w:val="none"/>
              </w:rPr>
            </w:pPr>
            <w:bookmarkStart w:id="38" w:name="_Toc435018101"/>
            <w:bookmarkStart w:id="39" w:name="_Toc435021440"/>
            <w:r>
              <w:rPr>
                <w:rFonts w:hint="eastAsia" w:ascii="宋体" w:hAnsi="宋体" w:cs="宋体"/>
                <w:color w:val="auto"/>
                <w:szCs w:val="21"/>
                <w:highlight w:val="none"/>
              </w:rPr>
              <w:t>有</w:t>
            </w:r>
            <w:bookmarkEnd w:id="38"/>
            <w:bookmarkEnd w:id="39"/>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912" w:type="dxa"/>
            <w:gridSpan w:val="2"/>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保护功能</w:t>
            </w:r>
          </w:p>
        </w:tc>
        <w:tc>
          <w:tcPr>
            <w:tcW w:w="4993" w:type="dxa"/>
            <w:gridSpan w:val="5"/>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全系列二段保护，无飞弧</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912" w:type="dxa"/>
            <w:gridSpan w:val="2"/>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控制单元</w:t>
            </w:r>
          </w:p>
        </w:tc>
        <w:tc>
          <w:tcPr>
            <w:tcW w:w="2992" w:type="dxa"/>
            <w:gridSpan w:val="3"/>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电磁式脱扣</w:t>
            </w:r>
          </w:p>
        </w:tc>
        <w:tc>
          <w:tcPr>
            <w:tcW w:w="2001" w:type="dxa"/>
            <w:gridSpan w:val="2"/>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电子式脱扣</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2912" w:type="dxa"/>
            <w:gridSpan w:val="2"/>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安装型式</w:t>
            </w:r>
          </w:p>
        </w:tc>
        <w:tc>
          <w:tcPr>
            <w:tcW w:w="4993" w:type="dxa"/>
            <w:gridSpan w:val="5"/>
            <w:vAlign w:val="center"/>
          </w:tcPr>
          <w:p>
            <w:pPr>
              <w:spacing w:line="360" w:lineRule="auto"/>
              <w:ind w:left="-2" w:leftChars="-1" w:firstLine="2"/>
              <w:rPr>
                <w:rFonts w:hint="eastAsia" w:ascii="宋体" w:hAnsi="宋体" w:cs="宋体"/>
                <w:color w:val="auto"/>
                <w:szCs w:val="21"/>
                <w:highlight w:val="none"/>
              </w:rPr>
            </w:pPr>
            <w:r>
              <w:rPr>
                <w:rFonts w:hint="eastAsia" w:ascii="宋体" w:hAnsi="宋体" w:cs="宋体"/>
                <w:color w:val="auto"/>
                <w:szCs w:val="21"/>
                <w:highlight w:val="none"/>
              </w:rPr>
              <w:t>抽屉式单元</w:t>
            </w:r>
          </w:p>
        </w:tc>
      </w:tr>
    </w:tbl>
    <w:p>
      <w:pPr>
        <w:spacing w:line="360" w:lineRule="auto"/>
        <w:ind w:left="-2" w:leftChars="-1" w:firstLine="2"/>
        <w:rPr>
          <w:rFonts w:hint="eastAsia" w:ascii="宋体" w:hAnsi="宋体" w:cs="宋体"/>
          <w:color w:val="auto"/>
          <w:szCs w:val="21"/>
          <w:highlight w:val="none"/>
        </w:rPr>
      </w:pPr>
    </w:p>
    <w:p>
      <w:pPr>
        <w:numPr>
          <w:ilvl w:val="0"/>
          <w:numId w:val="12"/>
        </w:num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塑壳式断路器保护功能应包括：长延时保护、短延时保护、瞬时脱扣，采用电子脱扣器时，要求短路短延时保护时间定值可调。。</w:t>
      </w:r>
    </w:p>
    <w:p>
      <w:p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1.3.6.4 电涌保护器</w:t>
      </w:r>
    </w:p>
    <w:p>
      <w:pPr>
        <w:spacing w:line="360" w:lineRule="auto"/>
        <w:ind w:left="-2" w:leftChars="-1" w:firstLine="420" w:firstLineChars="200"/>
        <w:rPr>
          <w:rFonts w:hint="eastAsia" w:ascii="宋体" w:hAnsi="宋体" w:cs="宋体"/>
          <w:color w:val="auto"/>
          <w:szCs w:val="21"/>
          <w:highlight w:val="none"/>
          <w:lang w:val="en-GB"/>
        </w:rPr>
      </w:pPr>
      <w:r>
        <w:rPr>
          <w:rFonts w:hint="eastAsia" w:ascii="宋体" w:hAnsi="宋体" w:cs="宋体"/>
          <w:color w:val="auto"/>
          <w:szCs w:val="21"/>
          <w:highlight w:val="none"/>
          <w:lang w:val="en-GB"/>
        </w:rPr>
        <w:t>为保护电气系统免遭雷电或操作过电压及涌流的损害，在每座变电所进线柜设置一组电涌保护器SPD。电涌保护器应</w:t>
      </w:r>
      <w:r>
        <w:rPr>
          <w:rFonts w:hint="eastAsia" w:ascii="宋体" w:hAnsi="宋体" w:cs="宋体"/>
          <w:color w:val="auto"/>
          <w:szCs w:val="21"/>
          <w:highlight w:val="none"/>
        </w:rPr>
        <w:t>具有国家认监委认可的检测机构出示的产品检测报告以及产品相关CQC证书</w:t>
      </w:r>
      <w:r>
        <w:rPr>
          <w:rFonts w:hint="eastAsia" w:ascii="宋体" w:hAnsi="宋体" w:cs="宋体"/>
          <w:color w:val="auto"/>
          <w:szCs w:val="21"/>
          <w:highlight w:val="none"/>
          <w:lang w:val="en-GB"/>
        </w:rPr>
        <w:t>;电涌保护器采用I级分类试验模块化产品，极数为3P+N；前加装4P塑壳断路器保护，额定电流63A，其它参数同开关柜塑壳断路器要求,电涌保护器应满足以下技术要求：</w:t>
      </w:r>
    </w:p>
    <w:p>
      <w:pPr>
        <w:numPr>
          <w:ilvl w:val="0"/>
          <w:numId w:val="13"/>
        </w:numPr>
        <w:spacing w:line="360" w:lineRule="auto"/>
        <w:ind w:left="-2" w:leftChars="-1" w:firstLine="420" w:firstLineChars="200"/>
        <w:rPr>
          <w:rFonts w:hint="eastAsia" w:ascii="宋体" w:hAnsi="宋体" w:cs="宋体"/>
          <w:color w:val="auto"/>
          <w:szCs w:val="21"/>
          <w:highlight w:val="none"/>
          <w:lang w:val="en-GB"/>
        </w:rPr>
      </w:pPr>
      <w:r>
        <w:rPr>
          <w:rFonts w:hint="eastAsia" w:ascii="宋体" w:hAnsi="宋体" w:cs="宋体"/>
          <w:color w:val="auto"/>
          <w:szCs w:val="21"/>
          <w:highlight w:val="none"/>
          <w:lang w:val="en-GB"/>
        </w:rPr>
        <w:t>最大持续工作电压Uc：≥AC350V，50Hz。</w:t>
      </w:r>
    </w:p>
    <w:p>
      <w:pPr>
        <w:numPr>
          <w:ilvl w:val="0"/>
          <w:numId w:val="13"/>
        </w:numPr>
        <w:spacing w:line="360" w:lineRule="auto"/>
        <w:ind w:left="-2" w:leftChars="-1" w:firstLine="420" w:firstLineChars="200"/>
        <w:rPr>
          <w:rFonts w:hint="eastAsia" w:ascii="宋体" w:hAnsi="宋体" w:cs="宋体"/>
          <w:color w:val="auto"/>
          <w:szCs w:val="21"/>
          <w:highlight w:val="none"/>
          <w:lang w:val="en-GB"/>
        </w:rPr>
      </w:pPr>
      <w:r>
        <w:rPr>
          <w:rFonts w:hint="eastAsia" w:ascii="宋体" w:hAnsi="宋体" w:cs="宋体"/>
          <w:color w:val="auto"/>
          <w:szCs w:val="21"/>
          <w:highlight w:val="none"/>
          <w:lang w:val="en-GB"/>
        </w:rPr>
        <w:t>电压保护水平Up：≤2.0kV。</w:t>
      </w:r>
    </w:p>
    <w:p>
      <w:pPr>
        <w:numPr>
          <w:ilvl w:val="0"/>
          <w:numId w:val="13"/>
        </w:numPr>
        <w:spacing w:line="360" w:lineRule="auto"/>
        <w:ind w:left="-2" w:leftChars="-1" w:firstLine="420" w:firstLineChars="200"/>
        <w:rPr>
          <w:rFonts w:hint="eastAsia" w:ascii="宋体" w:hAnsi="宋体" w:cs="宋体"/>
          <w:color w:val="auto"/>
          <w:szCs w:val="21"/>
          <w:highlight w:val="none"/>
          <w:lang w:val="en-GB"/>
        </w:rPr>
      </w:pPr>
      <w:r>
        <w:rPr>
          <w:rFonts w:hint="eastAsia" w:ascii="宋体" w:hAnsi="宋体" w:cs="宋体"/>
          <w:color w:val="auto"/>
          <w:szCs w:val="21"/>
          <w:highlight w:val="none"/>
          <w:lang w:val="en-GB"/>
        </w:rPr>
        <w:t>最大冲击电流（10/350us）:12.5kA(L-N)，50kA(N/PE)。</w:t>
      </w:r>
    </w:p>
    <w:p>
      <w:pPr>
        <w:numPr>
          <w:ilvl w:val="0"/>
          <w:numId w:val="13"/>
        </w:numPr>
        <w:spacing w:line="360" w:lineRule="auto"/>
        <w:ind w:left="-2" w:leftChars="-1" w:firstLine="420" w:firstLineChars="200"/>
        <w:rPr>
          <w:rFonts w:hint="eastAsia" w:ascii="宋体" w:hAnsi="宋体" w:cs="宋体"/>
          <w:color w:val="auto"/>
          <w:szCs w:val="21"/>
          <w:highlight w:val="none"/>
          <w:lang w:val="en-GB"/>
        </w:rPr>
      </w:pPr>
      <w:r>
        <w:rPr>
          <w:rFonts w:hint="eastAsia" w:ascii="宋体" w:hAnsi="宋体" w:cs="宋体"/>
          <w:color w:val="auto"/>
          <w:szCs w:val="21"/>
          <w:highlight w:val="none"/>
          <w:lang w:val="en-GB"/>
        </w:rPr>
        <w:t>标称放电电流（8/20us）:25kA</w:t>
      </w:r>
    </w:p>
    <w:p>
      <w:pPr>
        <w:numPr>
          <w:ilvl w:val="0"/>
          <w:numId w:val="13"/>
        </w:numPr>
        <w:spacing w:line="360" w:lineRule="auto"/>
        <w:ind w:left="-2" w:leftChars="-1" w:firstLine="420" w:firstLineChars="200"/>
        <w:rPr>
          <w:rFonts w:hint="eastAsia" w:ascii="宋体" w:hAnsi="宋体" w:cs="宋体"/>
          <w:color w:val="auto"/>
          <w:szCs w:val="21"/>
          <w:highlight w:val="none"/>
          <w:lang w:val="en-GB"/>
        </w:rPr>
      </w:pPr>
      <w:r>
        <w:rPr>
          <w:rFonts w:hint="eastAsia" w:ascii="宋体" w:hAnsi="宋体" w:cs="宋体"/>
          <w:color w:val="auto"/>
          <w:szCs w:val="21"/>
          <w:highlight w:val="none"/>
          <w:lang w:val="en-GB"/>
        </w:rPr>
        <w:t>响应时间：≤25ns。</w:t>
      </w:r>
    </w:p>
    <w:p>
      <w:pPr>
        <w:numPr>
          <w:ilvl w:val="0"/>
          <w:numId w:val="13"/>
        </w:numPr>
        <w:spacing w:line="360" w:lineRule="auto"/>
        <w:ind w:left="-2" w:leftChars="-1" w:firstLine="420" w:firstLineChars="200"/>
        <w:rPr>
          <w:rFonts w:hint="eastAsia" w:ascii="宋体" w:hAnsi="宋体" w:cs="宋体"/>
          <w:color w:val="auto"/>
          <w:szCs w:val="21"/>
          <w:highlight w:val="none"/>
          <w:lang w:val="en-GB"/>
        </w:rPr>
      </w:pPr>
      <w:r>
        <w:rPr>
          <w:rFonts w:hint="eastAsia" w:ascii="宋体" w:hAnsi="宋体" w:cs="宋体"/>
          <w:color w:val="auto"/>
          <w:szCs w:val="21"/>
          <w:highlight w:val="none"/>
          <w:lang w:val="en-GB"/>
        </w:rPr>
        <w:t>阻燃等级：V0级。</w:t>
      </w:r>
    </w:p>
    <w:p>
      <w:pPr>
        <w:numPr>
          <w:ilvl w:val="0"/>
          <w:numId w:val="13"/>
        </w:numPr>
        <w:spacing w:line="360" w:lineRule="auto"/>
        <w:ind w:left="-2" w:leftChars="-1" w:firstLine="420" w:firstLineChars="200"/>
        <w:rPr>
          <w:rFonts w:hint="eastAsia" w:ascii="宋体" w:hAnsi="宋体" w:cs="宋体"/>
          <w:color w:val="auto"/>
          <w:szCs w:val="21"/>
          <w:highlight w:val="none"/>
          <w:lang w:val="en-GB"/>
        </w:rPr>
      </w:pPr>
      <w:r>
        <w:rPr>
          <w:rFonts w:hint="eastAsia" w:ascii="宋体" w:hAnsi="宋体" w:cs="宋体"/>
          <w:color w:val="auto"/>
          <w:szCs w:val="21"/>
          <w:highlight w:val="none"/>
          <w:lang w:val="en-GB"/>
        </w:rPr>
        <w:t>最大放电电流Imax：≥65kA</w:t>
      </w:r>
    </w:p>
    <w:p>
      <w:pPr>
        <w:numPr>
          <w:ilvl w:val="0"/>
          <w:numId w:val="13"/>
        </w:numPr>
        <w:spacing w:line="360" w:lineRule="auto"/>
        <w:ind w:left="-2" w:leftChars="-1" w:firstLine="420" w:firstLineChars="200"/>
        <w:rPr>
          <w:rFonts w:hint="eastAsia" w:ascii="宋体" w:hAnsi="宋体" w:cs="宋体"/>
          <w:color w:val="auto"/>
          <w:szCs w:val="21"/>
          <w:highlight w:val="none"/>
          <w:lang w:val="en-GB"/>
        </w:rPr>
      </w:pPr>
      <w:r>
        <w:rPr>
          <w:rFonts w:hint="eastAsia" w:ascii="宋体" w:hAnsi="宋体" w:cs="宋体"/>
          <w:color w:val="auto"/>
          <w:szCs w:val="21"/>
          <w:highlight w:val="none"/>
          <w:lang w:val="en-GB"/>
        </w:rPr>
        <w:t>交流标称电压Un：230/400VAC</w:t>
      </w:r>
    </w:p>
    <w:p>
      <w:pPr>
        <w:numPr>
          <w:ilvl w:val="0"/>
          <w:numId w:val="13"/>
        </w:numPr>
        <w:spacing w:line="360" w:lineRule="auto"/>
        <w:ind w:left="-2" w:leftChars="-1" w:firstLine="420" w:firstLineChars="200"/>
        <w:rPr>
          <w:rFonts w:hint="eastAsia" w:ascii="宋体" w:hAnsi="宋体" w:cs="宋体"/>
          <w:color w:val="auto"/>
          <w:szCs w:val="21"/>
          <w:highlight w:val="none"/>
          <w:lang w:val="en-GB"/>
        </w:rPr>
      </w:pPr>
      <w:r>
        <w:rPr>
          <w:rFonts w:hint="eastAsia" w:ascii="宋体" w:hAnsi="宋体" w:cs="宋体"/>
          <w:color w:val="auto"/>
          <w:szCs w:val="21"/>
          <w:highlight w:val="none"/>
          <w:lang w:val="en-GB"/>
        </w:rPr>
        <w:t>需要通过8/20μs波形实验。</w:t>
      </w:r>
    </w:p>
    <w:p>
      <w:pPr>
        <w:numPr>
          <w:ilvl w:val="0"/>
          <w:numId w:val="13"/>
        </w:numPr>
        <w:spacing w:line="360" w:lineRule="auto"/>
        <w:ind w:left="-2" w:leftChars="-1" w:firstLine="420" w:firstLineChars="200"/>
        <w:rPr>
          <w:rFonts w:hint="eastAsia" w:ascii="宋体" w:hAnsi="宋体" w:cs="宋体"/>
          <w:color w:val="auto"/>
          <w:szCs w:val="21"/>
          <w:highlight w:val="none"/>
          <w:lang w:val="en-GB"/>
        </w:rPr>
      </w:pPr>
      <w:r>
        <w:rPr>
          <w:rFonts w:hint="eastAsia" w:ascii="宋体" w:hAnsi="宋体" w:cs="宋体"/>
          <w:color w:val="auto"/>
          <w:szCs w:val="21"/>
          <w:highlight w:val="none"/>
        </w:rPr>
        <w:t>采用品质不低于DEHN、施耐德﹑ABB的品牌。</w:t>
      </w:r>
    </w:p>
    <w:p>
      <w:p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1.3.6.5 柜内其它元器件</w:t>
      </w:r>
    </w:p>
    <w:p>
      <w:p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柜内元器件技术要求：</w:t>
      </w:r>
    </w:p>
    <w:p>
      <w:pPr>
        <w:numPr>
          <w:ilvl w:val="0"/>
          <w:numId w:val="14"/>
        </w:num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柜内导线、导线颜色、指示灯、按钮、插接件、走线槽等均应符合国家或行业的有关标准。</w:t>
      </w:r>
    </w:p>
    <w:p>
      <w:pPr>
        <w:numPr>
          <w:ilvl w:val="0"/>
          <w:numId w:val="14"/>
        </w:num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接线端子应适合连接硬、软铜导线，并保证维持适合于电器元件和电路的额定电流、短路电流强度所需要的接触压力。接线端子排、插接件采用品质不低于“菲尼克斯”、“威德米勒”、“WAGO”等知名品牌。</w:t>
      </w:r>
    </w:p>
    <w:p>
      <w:pPr>
        <w:numPr>
          <w:ilvl w:val="0"/>
          <w:numId w:val="14"/>
        </w:numPr>
        <w:spacing w:line="360" w:lineRule="auto"/>
        <w:ind w:left="-2" w:leftChars="-1" w:firstLine="420" w:firstLineChars="200"/>
        <w:rPr>
          <w:rFonts w:hint="eastAsia" w:ascii="宋体" w:hAnsi="宋体" w:cs="宋体"/>
          <w:color w:val="auto"/>
          <w:szCs w:val="21"/>
          <w:highlight w:val="none"/>
        </w:rPr>
      </w:pPr>
      <w:r>
        <w:rPr>
          <w:rFonts w:hint="eastAsia" w:ascii="宋体" w:hAnsi="宋体" w:cs="宋体"/>
          <w:color w:val="auto"/>
          <w:szCs w:val="21"/>
          <w:highlight w:val="none"/>
        </w:rPr>
        <w:t>继电器、互感器、指示灯、按钮、转换开关等应适合连接硬、软铜导线，并满足相应的约定发热电流、额定绝缘电压、最大绝缘电压的国家标准。</w:t>
      </w:r>
    </w:p>
    <w:p>
      <w:pPr>
        <w:pStyle w:val="6"/>
        <w:tabs>
          <w:tab w:val="left" w:pos="545"/>
        </w:tabs>
        <w:spacing w:before="64"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1</w:t>
      </w:r>
      <w:r>
        <w:rPr>
          <w:rFonts w:ascii="宋体" w:hAnsi="宋体" w:cs="宋体"/>
          <w:color w:val="auto"/>
          <w:szCs w:val="21"/>
          <w:highlight w:val="none"/>
        </w:rPr>
        <w:t xml:space="preserve">.3.7 </w:t>
      </w:r>
      <w:r>
        <w:rPr>
          <w:rFonts w:hint="eastAsia" w:ascii="宋体" w:hAnsi="宋体" w:cs="宋体"/>
          <w:color w:val="auto"/>
          <w:szCs w:val="21"/>
          <w:highlight w:val="none"/>
        </w:rPr>
        <w:t>调试</w:t>
      </w:r>
    </w:p>
    <w:p>
      <w:pPr>
        <w:pStyle w:val="6"/>
        <w:tabs>
          <w:tab w:val="left" w:pos="545"/>
        </w:tabs>
        <w:spacing w:before="64"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柜内元器件需有出厂测试报告，抵达现场后抽样检查；</w:t>
      </w:r>
    </w:p>
    <w:p>
      <w:pPr>
        <w:pStyle w:val="6"/>
        <w:tabs>
          <w:tab w:val="left" w:pos="545"/>
        </w:tabs>
        <w:spacing w:before="64"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现场测试包括但不局限于以下测试：现场交接试验，仪表校验，一次母排绝缘检查，母排相序检查，电流互感器电压互感器变比检查，绝缘检查，电流互感器不能有开路，电压互感器不能有短路，配置专用工具，备品备件。</w:t>
      </w:r>
    </w:p>
    <w:p>
      <w:pPr>
        <w:spacing w:line="360" w:lineRule="auto"/>
        <w:rPr>
          <w:rFonts w:hint="eastAsia" w:ascii="宋体" w:hAnsi="宋体" w:cs="宋体"/>
          <w:color w:val="auto"/>
          <w:szCs w:val="21"/>
          <w:highlight w:val="none"/>
        </w:rPr>
      </w:pPr>
    </w:p>
    <w:p>
      <w:pPr>
        <w:spacing w:line="360" w:lineRule="auto"/>
        <w:jc w:val="center"/>
        <w:outlineLvl w:val="0"/>
        <w:rPr>
          <w:rFonts w:hint="eastAsia" w:ascii="宋体" w:hAnsi="宋体" w:cs="宋体"/>
          <w:b/>
          <w:snapToGrid w:val="0"/>
          <w:color w:val="auto"/>
          <w:spacing w:val="1"/>
          <w:w w:val="99"/>
          <w:kern w:val="0"/>
          <w:szCs w:val="21"/>
          <w:highlight w:val="none"/>
        </w:rPr>
      </w:pPr>
      <w:bookmarkStart w:id="40" w:name="_Toc440985101"/>
      <w:bookmarkEnd w:id="40"/>
      <w:bookmarkStart w:id="41" w:name="_Toc433804009"/>
      <w:bookmarkEnd w:id="41"/>
      <w:bookmarkStart w:id="42" w:name="_Toc440985102"/>
      <w:bookmarkEnd w:id="42"/>
      <w:bookmarkStart w:id="43" w:name="_Toc433804010"/>
      <w:bookmarkEnd w:id="43"/>
      <w:bookmarkStart w:id="44" w:name="_Toc440985100"/>
      <w:bookmarkEnd w:id="44"/>
      <w:bookmarkStart w:id="45" w:name="_Toc440985099"/>
      <w:bookmarkEnd w:id="45"/>
      <w:bookmarkStart w:id="46" w:name="_Toc433804008"/>
      <w:bookmarkEnd w:id="46"/>
      <w:bookmarkStart w:id="47" w:name="_Toc433804007"/>
      <w:bookmarkEnd w:id="47"/>
      <w:bookmarkStart w:id="48" w:name="_Toc431988002"/>
      <w:bookmarkEnd w:id="48"/>
      <w:bookmarkStart w:id="49" w:name="_Toc440985103"/>
      <w:bookmarkStart w:id="50" w:name="_Toc479271805"/>
      <w:r>
        <w:rPr>
          <w:rFonts w:cs="宋体"/>
          <w:b/>
          <w:snapToGrid w:val="0"/>
          <w:color w:val="auto"/>
          <w:spacing w:val="1"/>
          <w:w w:val="99"/>
          <w:kern w:val="0"/>
          <w:szCs w:val="21"/>
          <w:highlight w:val="none"/>
        </w:rPr>
        <w:br w:type="page"/>
      </w:r>
      <w:bookmarkStart w:id="51" w:name="_Toc19654"/>
      <w:r>
        <w:rPr>
          <w:rFonts w:hint="eastAsia" w:cs="宋体"/>
          <w:b/>
          <w:snapToGrid w:val="0"/>
          <w:color w:val="auto"/>
          <w:spacing w:val="1"/>
          <w:w w:val="99"/>
          <w:kern w:val="0"/>
          <w:szCs w:val="21"/>
          <w:highlight w:val="none"/>
        </w:rPr>
        <w:t>二</w:t>
      </w:r>
      <w:r>
        <w:rPr>
          <w:rFonts w:hint="eastAsia" w:ascii="宋体" w:hAnsi="宋体" w:cs="宋体"/>
          <w:b/>
          <w:snapToGrid w:val="0"/>
          <w:color w:val="auto"/>
          <w:spacing w:val="1"/>
          <w:w w:val="99"/>
          <w:kern w:val="0"/>
          <w:szCs w:val="21"/>
          <w:highlight w:val="none"/>
        </w:rPr>
        <w:t>、10kV/0.4kV 1000kVA变压器技术规范书</w:t>
      </w:r>
      <w:bookmarkEnd w:id="51"/>
    </w:p>
    <w:p>
      <w:pPr>
        <w:spacing w:line="360" w:lineRule="auto"/>
        <w:jc w:val="center"/>
        <w:rPr>
          <w:rFonts w:hint="eastAsia" w:ascii="宋体" w:hAnsi="宋体" w:cs="宋体"/>
          <w:b/>
          <w:snapToGrid w:val="0"/>
          <w:color w:val="auto"/>
          <w:spacing w:val="1"/>
          <w:w w:val="99"/>
          <w:kern w:val="0"/>
          <w:szCs w:val="21"/>
          <w:highlight w:val="none"/>
        </w:rPr>
      </w:pPr>
    </w:p>
    <w:p>
      <w:pPr>
        <w:spacing w:line="360" w:lineRule="auto"/>
        <w:outlineLvl w:val="1"/>
        <w:rPr>
          <w:rFonts w:hint="eastAsia" w:ascii="宋体" w:hAnsi="宋体" w:cs="宋体"/>
          <w:b/>
          <w:color w:val="auto"/>
          <w:szCs w:val="21"/>
          <w:highlight w:val="none"/>
        </w:rPr>
      </w:pPr>
      <w:bookmarkStart w:id="52" w:name="_Toc10548"/>
      <w:r>
        <w:rPr>
          <w:rFonts w:hint="eastAsia" w:ascii="宋体" w:hAnsi="宋体" w:cs="宋体"/>
          <w:b/>
          <w:color w:val="auto"/>
          <w:szCs w:val="21"/>
          <w:highlight w:val="none"/>
        </w:rPr>
        <w:t>1.1环境条件</w:t>
      </w:r>
      <w:bookmarkEnd w:id="52"/>
    </w:p>
    <w:p>
      <w:pPr>
        <w:numPr>
          <w:ilvl w:val="0"/>
          <w:numId w:val="15"/>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海拔高度不超过1000m</w:t>
      </w:r>
      <w:r>
        <w:rPr>
          <w:rFonts w:hint="eastAsia" w:cs="宋体"/>
          <w:bCs/>
          <w:color w:val="auto"/>
          <w:szCs w:val="21"/>
          <w:highlight w:val="none"/>
        </w:rPr>
        <w:t>。</w:t>
      </w:r>
    </w:p>
    <w:p>
      <w:pPr>
        <w:numPr>
          <w:ilvl w:val="0"/>
          <w:numId w:val="15"/>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最高气温：+400</w:t>
      </w:r>
      <w:r>
        <w:rPr>
          <w:rFonts w:hint="eastAsia" w:cs="宋体"/>
          <w:bCs/>
          <w:color w:val="auto"/>
          <w:szCs w:val="21"/>
          <w:highlight w:val="none"/>
        </w:rPr>
        <w:t>℃</w:t>
      </w:r>
      <w:r>
        <w:rPr>
          <w:rFonts w:hint="eastAsia" w:ascii="宋体" w:hAnsi="宋体" w:cs="宋体"/>
          <w:bCs/>
          <w:color w:val="auto"/>
          <w:szCs w:val="21"/>
          <w:highlight w:val="none"/>
        </w:rPr>
        <w:t xml:space="preserve">   </w:t>
      </w:r>
      <w:r>
        <w:rPr>
          <w:rFonts w:hint="eastAsia" w:cs="宋体"/>
          <w:bCs/>
          <w:color w:val="auto"/>
          <w:szCs w:val="21"/>
          <w:highlight w:val="none"/>
        </w:rPr>
        <w:t xml:space="preserve">     </w:t>
      </w:r>
      <w:r>
        <w:rPr>
          <w:rFonts w:hint="eastAsia" w:ascii="宋体" w:hAnsi="宋体" w:cs="宋体"/>
          <w:bCs/>
          <w:color w:val="auto"/>
          <w:szCs w:val="21"/>
          <w:highlight w:val="none"/>
        </w:rPr>
        <w:t>（最高日平均气温+350</w:t>
      </w:r>
      <w:r>
        <w:rPr>
          <w:rFonts w:hint="eastAsia" w:cs="宋体"/>
          <w:bCs/>
          <w:color w:val="auto"/>
          <w:szCs w:val="21"/>
          <w:highlight w:val="none"/>
        </w:rPr>
        <w:t>℃</w:t>
      </w:r>
      <w:r>
        <w:rPr>
          <w:rFonts w:hint="eastAsia" w:ascii="宋体" w:hAnsi="宋体" w:cs="宋体"/>
          <w:bCs/>
          <w:color w:val="auto"/>
          <w:szCs w:val="21"/>
          <w:highlight w:val="none"/>
        </w:rPr>
        <w:t>）</w:t>
      </w:r>
    </w:p>
    <w:p>
      <w:pPr>
        <w:numPr>
          <w:ilvl w:val="0"/>
          <w:numId w:val="15"/>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最低气温：-50</w:t>
      </w:r>
      <w:r>
        <w:rPr>
          <w:rFonts w:hint="eastAsia" w:cs="宋体"/>
          <w:bCs/>
          <w:color w:val="auto"/>
          <w:szCs w:val="21"/>
          <w:highlight w:val="none"/>
        </w:rPr>
        <w:t>℃</w:t>
      </w:r>
    </w:p>
    <w:p>
      <w:pPr>
        <w:numPr>
          <w:ilvl w:val="0"/>
          <w:numId w:val="15"/>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 xml:space="preserve">相对湿度：50%     </w:t>
      </w:r>
      <w:r>
        <w:rPr>
          <w:rFonts w:hint="eastAsia" w:cs="宋体"/>
          <w:bCs/>
          <w:color w:val="auto"/>
          <w:szCs w:val="21"/>
          <w:highlight w:val="none"/>
        </w:rPr>
        <w:t xml:space="preserve">      </w:t>
      </w:r>
      <w:r>
        <w:rPr>
          <w:rFonts w:hint="eastAsia" w:ascii="宋体" w:hAnsi="宋体" w:cs="宋体"/>
          <w:bCs/>
          <w:color w:val="auto"/>
          <w:szCs w:val="21"/>
          <w:highlight w:val="none"/>
        </w:rPr>
        <w:t>（当环境温度为+400</w:t>
      </w:r>
      <w:r>
        <w:rPr>
          <w:rFonts w:hint="eastAsia" w:cs="宋体"/>
          <w:bCs/>
          <w:color w:val="auto"/>
          <w:szCs w:val="21"/>
          <w:highlight w:val="none"/>
        </w:rPr>
        <w:t>℃</w:t>
      </w:r>
      <w:r>
        <w:rPr>
          <w:rFonts w:hint="eastAsia" w:ascii="宋体" w:hAnsi="宋体" w:cs="宋体"/>
          <w:bCs/>
          <w:color w:val="auto"/>
          <w:szCs w:val="21"/>
          <w:highlight w:val="none"/>
        </w:rPr>
        <w:t>时）</w:t>
      </w:r>
    </w:p>
    <w:p>
      <w:pPr>
        <w:numPr>
          <w:ilvl w:val="0"/>
          <w:numId w:val="15"/>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 xml:space="preserve">地震设防烈度        </w:t>
      </w:r>
      <w:r>
        <w:rPr>
          <w:rFonts w:hint="eastAsia" w:cs="宋体"/>
          <w:bCs/>
          <w:color w:val="auto"/>
          <w:szCs w:val="21"/>
          <w:highlight w:val="none"/>
        </w:rPr>
        <w:t xml:space="preserve">     </w:t>
      </w:r>
      <w:r>
        <w:rPr>
          <w:rFonts w:ascii="宋体" w:hAnsi="宋体" w:cs="宋体"/>
          <w:bCs/>
          <w:color w:val="auto"/>
          <w:szCs w:val="21"/>
          <w:highlight w:val="none"/>
        </w:rPr>
        <w:t>8</w:t>
      </w:r>
      <w:r>
        <w:rPr>
          <w:rFonts w:hint="eastAsia" w:ascii="宋体" w:hAnsi="宋体" w:cs="宋体"/>
          <w:bCs/>
          <w:color w:val="auto"/>
          <w:szCs w:val="21"/>
          <w:highlight w:val="none"/>
        </w:rPr>
        <w:t>度</w:t>
      </w:r>
    </w:p>
    <w:p>
      <w:pPr>
        <w:spacing w:line="360" w:lineRule="auto"/>
        <w:outlineLvl w:val="1"/>
        <w:rPr>
          <w:rFonts w:hint="eastAsia" w:ascii="宋体" w:hAnsi="宋体" w:cs="宋体"/>
          <w:bCs/>
          <w:color w:val="auto"/>
          <w:szCs w:val="21"/>
          <w:highlight w:val="none"/>
        </w:rPr>
      </w:pPr>
      <w:bookmarkStart w:id="53" w:name="_Toc8565"/>
      <w:r>
        <w:rPr>
          <w:rFonts w:hint="eastAsia" w:ascii="宋体" w:hAnsi="宋体" w:cs="宋体"/>
          <w:b/>
          <w:color w:val="auto"/>
          <w:szCs w:val="21"/>
          <w:highlight w:val="none"/>
        </w:rPr>
        <w:t>1.2变压器</w:t>
      </w:r>
      <w:bookmarkEnd w:id="49"/>
      <w:bookmarkEnd w:id="50"/>
      <w:r>
        <w:rPr>
          <w:rFonts w:hint="eastAsia" w:ascii="宋体" w:hAnsi="宋体" w:cs="宋体"/>
          <w:b/>
          <w:color w:val="auto"/>
          <w:szCs w:val="21"/>
          <w:highlight w:val="none"/>
        </w:rPr>
        <w:t>型号</w:t>
      </w:r>
      <w:bookmarkEnd w:id="53"/>
    </w:p>
    <w:p>
      <w:pPr>
        <w:pStyle w:val="6"/>
        <w:tabs>
          <w:tab w:val="left" w:pos="545"/>
        </w:tabs>
        <w:spacing w:before="64"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1.2.1变压器的结构应采用行业内最新型的技术和经验而设计和制造。</w:t>
      </w:r>
    </w:p>
    <w:p>
      <w:pPr>
        <w:pStyle w:val="6"/>
        <w:tabs>
          <w:tab w:val="left" w:pos="545"/>
        </w:tabs>
        <w:spacing w:before="64" w:line="360" w:lineRule="auto"/>
        <w:ind w:firstLine="420" w:firstLineChars="200"/>
        <w:rPr>
          <w:rFonts w:hint="eastAsia" w:ascii="宋体" w:hAnsi="宋体" w:cs="宋体"/>
          <w:bCs/>
          <w:color w:val="auto"/>
          <w:szCs w:val="21"/>
          <w:highlight w:val="none"/>
        </w:rPr>
      </w:pPr>
      <w:r>
        <w:rPr>
          <w:rFonts w:hint="eastAsia" w:ascii="宋体" w:hAnsi="宋体" w:cs="宋体"/>
          <w:color w:val="auto"/>
          <w:szCs w:val="21"/>
          <w:highlight w:val="none"/>
        </w:rPr>
        <w:t>1.2.2 10kV/400V配电变压器应是室内安装、三相干式、且高压绕组在真空下用玻璃纤维的环氧树脂浇注而成，采用无载调压分接头。</w:t>
      </w:r>
    </w:p>
    <w:p>
      <w:pPr>
        <w:spacing w:line="360" w:lineRule="auto"/>
        <w:outlineLvl w:val="1"/>
        <w:rPr>
          <w:rFonts w:hint="eastAsia" w:ascii="宋体" w:hAnsi="宋体" w:cs="宋体"/>
          <w:bCs/>
          <w:color w:val="auto"/>
          <w:szCs w:val="21"/>
          <w:highlight w:val="none"/>
        </w:rPr>
      </w:pPr>
      <w:bookmarkStart w:id="54" w:name="_Toc18371"/>
      <w:r>
        <w:rPr>
          <w:rFonts w:hint="eastAsia" w:ascii="宋体" w:hAnsi="宋体" w:cs="宋体"/>
          <w:b/>
          <w:color w:val="auto"/>
          <w:szCs w:val="21"/>
          <w:highlight w:val="none"/>
        </w:rPr>
        <w:t>1.3标准规范</w:t>
      </w:r>
      <w:bookmarkEnd w:id="54"/>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1.3.1变压器的设计、制造和测试应依据如下最新版的规范，除非有特殊说明的地方：</w:t>
      </w:r>
    </w:p>
    <w:tbl>
      <w:tblPr>
        <w:tblStyle w:val="15"/>
        <w:tblW w:w="0" w:type="auto"/>
        <w:tblInd w:w="7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52"/>
        <w:gridCol w:w="26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5052" w:type="dxa"/>
            <w:vAlign w:val="center"/>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项目</w:t>
            </w:r>
          </w:p>
        </w:tc>
        <w:tc>
          <w:tcPr>
            <w:tcW w:w="2678" w:type="dxa"/>
            <w:vAlign w:val="center"/>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 xml:space="preserve">GB标准规范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2"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电力变压器：总则</w:t>
            </w:r>
          </w:p>
        </w:tc>
        <w:tc>
          <w:tcPr>
            <w:tcW w:w="2678"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GB1094.1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2"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绝缘水平绝缘试验和外绝缘空气间隙</w:t>
            </w:r>
          </w:p>
        </w:tc>
        <w:tc>
          <w:tcPr>
            <w:tcW w:w="2678"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GB1094.3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2"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承受短路的能力</w:t>
            </w:r>
          </w:p>
        </w:tc>
        <w:tc>
          <w:tcPr>
            <w:tcW w:w="2678"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GB1094.5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2"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 xml:space="preserve">声级测定  </w:t>
            </w:r>
          </w:p>
        </w:tc>
        <w:tc>
          <w:tcPr>
            <w:tcW w:w="2678"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GB/T1094.101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2"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干式变压器</w:t>
            </w:r>
          </w:p>
        </w:tc>
        <w:tc>
          <w:tcPr>
            <w:tcW w:w="2678"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GB1094.11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2"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干式电力变压器负载导则</w:t>
            </w:r>
          </w:p>
        </w:tc>
        <w:tc>
          <w:tcPr>
            <w:tcW w:w="2678"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GB/T1094.12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2"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干式电力变压器技术参数及要求</w:t>
            </w:r>
          </w:p>
        </w:tc>
        <w:tc>
          <w:tcPr>
            <w:tcW w:w="2678"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GB/T10228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2"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电力变压器选用导则</w:t>
            </w:r>
          </w:p>
        </w:tc>
        <w:tc>
          <w:tcPr>
            <w:tcW w:w="2678"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GB/T17468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2"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高压电器端子尺寸标准化</w:t>
            </w:r>
          </w:p>
        </w:tc>
        <w:tc>
          <w:tcPr>
            <w:tcW w:w="2678"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GB/T5273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2"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变压器用电子温度计</w:t>
            </w:r>
          </w:p>
        </w:tc>
        <w:tc>
          <w:tcPr>
            <w:tcW w:w="2678"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JB/T7631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2"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外壳防护等级(IP代码)</w:t>
            </w:r>
          </w:p>
        </w:tc>
        <w:tc>
          <w:tcPr>
            <w:tcW w:w="2678"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GB4208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2"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包装储运图示标志</w:t>
            </w:r>
          </w:p>
        </w:tc>
        <w:tc>
          <w:tcPr>
            <w:tcW w:w="2678"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GB/T191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2"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防护漆体系对钢结构的腐蚀防护</w:t>
            </w:r>
          </w:p>
        </w:tc>
        <w:tc>
          <w:tcPr>
            <w:tcW w:w="2678"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ISO12944-5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2"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电气装置安装工程电气设备交接试验标准.</w:t>
            </w:r>
          </w:p>
        </w:tc>
        <w:tc>
          <w:tcPr>
            <w:tcW w:w="2678" w:type="dxa"/>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GB50150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52" w:type="dxa"/>
            <w:tcBorders>
              <w:top w:val="single" w:color="auto" w:sz="4" w:space="0"/>
              <w:left w:val="single" w:color="auto" w:sz="4" w:space="0"/>
              <w:bottom w:val="single" w:color="auto" w:sz="4" w:space="0"/>
              <w:right w:val="single" w:color="auto" w:sz="4" w:space="0"/>
            </w:tcBorders>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《电力变压器能效限定值及能效等级》</w:t>
            </w:r>
          </w:p>
        </w:tc>
        <w:tc>
          <w:tcPr>
            <w:tcW w:w="2678" w:type="dxa"/>
            <w:tcBorders>
              <w:top w:val="single" w:color="auto" w:sz="4" w:space="0"/>
              <w:left w:val="single" w:color="auto" w:sz="4" w:space="0"/>
              <w:bottom w:val="single" w:color="auto" w:sz="4" w:space="0"/>
              <w:right w:val="single" w:color="auto" w:sz="4" w:space="0"/>
            </w:tcBorders>
          </w:tcPr>
          <w:p>
            <w:pPr>
              <w:spacing w:line="360" w:lineRule="auto"/>
              <w:contextualSpacing/>
              <w:rPr>
                <w:rFonts w:hint="eastAsia" w:ascii="宋体" w:hAnsi="宋体" w:cs="宋体"/>
                <w:bCs/>
                <w:color w:val="auto"/>
                <w:szCs w:val="21"/>
                <w:highlight w:val="none"/>
              </w:rPr>
            </w:pPr>
            <w:r>
              <w:rPr>
                <w:rFonts w:hint="eastAsia" w:ascii="宋体" w:hAnsi="宋体" w:cs="宋体"/>
                <w:bCs/>
                <w:color w:val="auto"/>
                <w:szCs w:val="21"/>
                <w:highlight w:val="none"/>
              </w:rPr>
              <w:t>GB20052-2020</w:t>
            </w:r>
          </w:p>
        </w:tc>
      </w:tr>
    </w:tbl>
    <w:p>
      <w:pPr>
        <w:spacing w:line="360" w:lineRule="auto"/>
        <w:rPr>
          <w:rFonts w:hint="eastAsia" w:ascii="宋体" w:hAnsi="宋体" w:cs="宋体"/>
          <w:bCs/>
          <w:color w:val="auto"/>
          <w:szCs w:val="21"/>
          <w:highlight w:val="none"/>
        </w:rPr>
      </w:pPr>
    </w:p>
    <w:p>
      <w:pPr>
        <w:pStyle w:val="4"/>
        <w:numPr>
          <w:ilvl w:val="2"/>
          <w:numId w:val="0"/>
        </w:numPr>
        <w:spacing w:line="360" w:lineRule="auto"/>
        <w:ind w:firstLine="420" w:firstLineChars="200"/>
        <w:rPr>
          <w:rFonts w:hint="eastAsia" w:ascii="宋体" w:hAnsi="宋体" w:cs="宋体"/>
          <w:color w:val="auto"/>
          <w:szCs w:val="21"/>
          <w:highlight w:val="none"/>
        </w:rPr>
      </w:pPr>
      <w:r>
        <w:rPr>
          <w:rFonts w:hint="eastAsia" w:ascii="宋体" w:hAnsi="宋体" w:cs="宋体"/>
          <w:bCs w:val="0"/>
          <w:color w:val="auto"/>
          <w:szCs w:val="21"/>
          <w:highlight w:val="none"/>
        </w:rPr>
        <w:t>1.3.2如果此标准规定与以上的标准规范冲突，此标准规定应优先采用。</w:t>
      </w:r>
    </w:p>
    <w:p>
      <w:pPr>
        <w:pStyle w:val="4"/>
        <w:numPr>
          <w:ilvl w:val="2"/>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1.3.3如果标准规范的偏差是微小的，可以采用被工程师批准认可的在制造厂的国家通用的其它国家或国际标准。一旦承包商中标后，所列的标准不允许违背，除非有工程师的书面授权。</w:t>
      </w:r>
    </w:p>
    <w:p>
      <w:pPr>
        <w:pStyle w:val="4"/>
        <w:numPr>
          <w:ilvl w:val="2"/>
          <w:numId w:val="0"/>
        </w:numPr>
        <w:spacing w:line="360" w:lineRule="auto"/>
        <w:ind w:firstLine="420" w:firstLineChars="200"/>
        <w:rPr>
          <w:rFonts w:hint="eastAsia" w:ascii="宋体" w:hAnsi="宋体" w:cs="宋体"/>
          <w:color w:val="auto"/>
          <w:szCs w:val="21"/>
          <w:highlight w:val="none"/>
        </w:rPr>
      </w:pPr>
      <w:r>
        <w:rPr>
          <w:rFonts w:hint="eastAsia" w:ascii="宋体" w:hAnsi="宋体" w:cs="宋体"/>
          <w:bCs w:val="0"/>
          <w:color w:val="auto"/>
          <w:szCs w:val="21"/>
          <w:highlight w:val="none"/>
        </w:rPr>
        <w:t>1.3.4在上述没有提到编号的GB规范中，规范应是对设备的等级、材料最适用的，或者由工程师定义。</w:t>
      </w:r>
    </w:p>
    <w:p>
      <w:pPr>
        <w:spacing w:line="360" w:lineRule="auto"/>
        <w:outlineLvl w:val="1"/>
        <w:rPr>
          <w:rFonts w:hint="eastAsia" w:ascii="宋体" w:hAnsi="宋体" w:cs="宋体"/>
          <w:b/>
          <w:color w:val="auto"/>
          <w:szCs w:val="21"/>
          <w:highlight w:val="none"/>
        </w:rPr>
      </w:pPr>
      <w:bookmarkStart w:id="55" w:name="_Toc16533"/>
      <w:r>
        <w:rPr>
          <w:rFonts w:hint="eastAsia" w:ascii="宋体" w:hAnsi="宋体" w:cs="宋体"/>
          <w:b/>
          <w:color w:val="auto"/>
          <w:szCs w:val="21"/>
          <w:highlight w:val="none"/>
        </w:rPr>
        <w:t>1.4系统接地</w:t>
      </w:r>
      <w:bookmarkEnd w:id="55"/>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1.4.1变压器压中性线应直接接地。</w:t>
      </w:r>
    </w:p>
    <w:p>
      <w:pPr>
        <w:spacing w:line="360" w:lineRule="auto"/>
        <w:outlineLvl w:val="1"/>
        <w:rPr>
          <w:rFonts w:hint="eastAsia" w:ascii="宋体" w:hAnsi="宋体" w:cs="宋体"/>
          <w:b/>
          <w:color w:val="auto"/>
          <w:szCs w:val="21"/>
          <w:highlight w:val="none"/>
        </w:rPr>
      </w:pPr>
      <w:bookmarkStart w:id="56" w:name="_Toc2076"/>
      <w:r>
        <w:rPr>
          <w:rFonts w:hint="eastAsia" w:ascii="宋体" w:hAnsi="宋体" w:cs="宋体"/>
          <w:b/>
          <w:color w:val="auto"/>
          <w:szCs w:val="21"/>
          <w:highlight w:val="none"/>
        </w:rPr>
        <w:t>1.5额定频率</w:t>
      </w:r>
      <w:bookmarkEnd w:id="56"/>
    </w:p>
    <w:p>
      <w:pPr>
        <w:pStyle w:val="4"/>
        <w:numPr>
          <w:ilvl w:val="2"/>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1.5.1变压器额定频率为50Hz.</w:t>
      </w:r>
    </w:p>
    <w:p>
      <w:pPr>
        <w:spacing w:line="360" w:lineRule="auto"/>
        <w:outlineLvl w:val="1"/>
        <w:rPr>
          <w:rFonts w:hint="eastAsia" w:ascii="宋体" w:hAnsi="宋体" w:cs="宋体"/>
          <w:b/>
          <w:color w:val="auto"/>
          <w:szCs w:val="21"/>
          <w:highlight w:val="none"/>
        </w:rPr>
      </w:pPr>
      <w:bookmarkStart w:id="57" w:name="_Toc31744"/>
      <w:r>
        <w:rPr>
          <w:rFonts w:hint="eastAsia" w:cs="宋体"/>
          <w:b/>
          <w:color w:val="auto"/>
          <w:szCs w:val="21"/>
          <w:highlight w:val="none"/>
        </w:rPr>
        <w:t>1.6</w:t>
      </w:r>
      <w:r>
        <w:rPr>
          <w:rFonts w:hint="eastAsia" w:ascii="宋体" w:hAnsi="宋体" w:cs="宋体"/>
          <w:b/>
          <w:color w:val="auto"/>
          <w:szCs w:val="21"/>
          <w:highlight w:val="none"/>
        </w:rPr>
        <w:t>额定容量</w:t>
      </w:r>
      <w:bookmarkEnd w:id="57"/>
    </w:p>
    <w:p>
      <w:pPr>
        <w:pStyle w:val="4"/>
        <w:numPr>
          <w:ilvl w:val="2"/>
          <w:numId w:val="0"/>
        </w:numPr>
        <w:spacing w:line="360" w:lineRule="auto"/>
        <w:ind w:firstLine="420" w:firstLineChars="200"/>
        <w:rPr>
          <w:rFonts w:hint="eastAsia" w:cs="宋体"/>
          <w:color w:val="auto"/>
          <w:szCs w:val="21"/>
          <w:highlight w:val="none"/>
        </w:rPr>
      </w:pPr>
      <w:r>
        <w:rPr>
          <w:rFonts w:hint="eastAsia" w:ascii="宋体" w:hAnsi="宋体" w:cs="宋体"/>
          <w:bCs w:val="0"/>
          <w:color w:val="auto"/>
          <w:szCs w:val="21"/>
          <w:highlight w:val="none"/>
        </w:rPr>
        <w:t>1.6.1</w:t>
      </w:r>
      <w:r>
        <w:rPr>
          <w:rFonts w:hint="eastAsia" w:cs="宋体"/>
          <w:color w:val="auto"/>
          <w:szCs w:val="21"/>
          <w:highlight w:val="none"/>
        </w:rPr>
        <w:t>变压器在本规定提到的环境下应能持续工作。变压器容量见图纸。</w:t>
      </w:r>
    </w:p>
    <w:p>
      <w:pPr>
        <w:pStyle w:val="3"/>
        <w:numPr>
          <w:ilvl w:val="0"/>
          <w:numId w:val="0"/>
        </w:numPr>
        <w:spacing w:line="360" w:lineRule="auto"/>
        <w:rPr>
          <w:rFonts w:hint="eastAsia" w:ascii="宋体" w:hAnsi="宋体" w:cs="宋体"/>
          <w:b/>
          <w:bCs w:val="0"/>
          <w:color w:val="auto"/>
          <w:szCs w:val="21"/>
          <w:highlight w:val="none"/>
        </w:rPr>
      </w:pPr>
      <w:bookmarkStart w:id="58" w:name="_Toc24475"/>
      <w:r>
        <w:rPr>
          <w:rFonts w:hint="eastAsia" w:cs="宋体"/>
          <w:b/>
          <w:bCs w:val="0"/>
          <w:color w:val="auto"/>
          <w:szCs w:val="21"/>
          <w:highlight w:val="none"/>
        </w:rPr>
        <w:t>1.7</w:t>
      </w:r>
      <w:r>
        <w:rPr>
          <w:rFonts w:hint="eastAsia" w:ascii="宋体" w:hAnsi="宋体" w:cs="宋体"/>
          <w:b/>
          <w:bCs w:val="0"/>
          <w:color w:val="auto"/>
          <w:szCs w:val="21"/>
          <w:highlight w:val="none"/>
        </w:rPr>
        <w:t>额定变比与分接头调压范围</w:t>
      </w:r>
      <w:bookmarkEnd w:id="58"/>
    </w:p>
    <w:p>
      <w:pPr>
        <w:pStyle w:val="4"/>
        <w:numPr>
          <w:ilvl w:val="2"/>
          <w:numId w:val="0"/>
        </w:numPr>
        <w:spacing w:line="360" w:lineRule="auto"/>
        <w:ind w:firstLine="420" w:firstLineChars="200"/>
        <w:rPr>
          <w:rFonts w:hint="eastAsia" w:cs="宋体"/>
          <w:color w:val="auto"/>
          <w:szCs w:val="21"/>
          <w:highlight w:val="none"/>
        </w:rPr>
      </w:pPr>
      <w:r>
        <w:rPr>
          <w:rFonts w:hint="eastAsia" w:ascii="宋体" w:hAnsi="宋体" w:cs="宋体"/>
          <w:bCs w:val="0"/>
          <w:color w:val="auto"/>
          <w:szCs w:val="21"/>
          <w:highlight w:val="none"/>
        </w:rPr>
        <w:t>1.7.1</w:t>
      </w:r>
      <w:r>
        <w:rPr>
          <w:rFonts w:hint="eastAsia" w:cs="宋体"/>
          <w:color w:val="auto"/>
          <w:szCs w:val="21"/>
          <w:highlight w:val="none"/>
        </w:rPr>
        <w:t>变压器在无载条件下当分接头处于主位时的变比应为10kV/400V。分接头的范围应为±5%，2.5%为一档。变压器是无载调压型。</w:t>
      </w:r>
    </w:p>
    <w:p>
      <w:pPr>
        <w:pStyle w:val="3"/>
        <w:numPr>
          <w:ilvl w:val="0"/>
          <w:numId w:val="0"/>
        </w:numPr>
        <w:spacing w:line="360" w:lineRule="auto"/>
        <w:rPr>
          <w:rFonts w:hint="eastAsia" w:cs="宋体"/>
          <w:b/>
          <w:bCs w:val="0"/>
          <w:color w:val="auto"/>
          <w:szCs w:val="21"/>
          <w:highlight w:val="none"/>
        </w:rPr>
      </w:pPr>
      <w:bookmarkStart w:id="59" w:name="_Toc23265"/>
      <w:r>
        <w:rPr>
          <w:rFonts w:hint="eastAsia" w:cs="宋体"/>
          <w:b/>
          <w:bCs w:val="0"/>
          <w:color w:val="auto"/>
          <w:szCs w:val="21"/>
          <w:highlight w:val="none"/>
        </w:rPr>
        <w:t>1.8绝缘水平</w:t>
      </w:r>
      <w:bookmarkEnd w:id="59"/>
    </w:p>
    <w:p>
      <w:pPr>
        <w:spacing w:line="360" w:lineRule="auto"/>
        <w:ind w:firstLine="420" w:firstLineChars="200"/>
        <w:outlineLvl w:val="2"/>
        <w:rPr>
          <w:rFonts w:hint="eastAsia" w:ascii="宋体" w:hAnsi="宋体" w:cs="宋体"/>
          <w:bCs/>
          <w:color w:val="auto"/>
          <w:szCs w:val="21"/>
          <w:highlight w:val="none"/>
        </w:rPr>
      </w:pPr>
      <w:r>
        <w:rPr>
          <w:rFonts w:hint="eastAsia" w:ascii="宋体" w:hAnsi="宋体" w:cs="宋体"/>
          <w:color w:val="auto"/>
          <w:szCs w:val="21"/>
          <w:highlight w:val="none"/>
        </w:rPr>
        <w:t>1.8.1</w:t>
      </w:r>
      <w:r>
        <w:rPr>
          <w:rFonts w:hint="eastAsia" w:ascii="宋体" w:hAnsi="宋体" w:cs="宋体"/>
          <w:bCs/>
          <w:color w:val="auto"/>
          <w:szCs w:val="21"/>
          <w:highlight w:val="none"/>
        </w:rPr>
        <w:t>变压器绕组的绝缘水平要求如下：</w:t>
      </w:r>
    </w:p>
    <w:tbl>
      <w:tblPr>
        <w:tblStyle w:val="15"/>
        <w:tblW w:w="0" w:type="auto"/>
        <w:tblInd w:w="72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3885"/>
        <w:gridCol w:w="39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96"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lang w:eastAsia="en-US"/>
              </w:rPr>
              <w:t>最高</w:t>
            </w:r>
            <w:r>
              <w:rPr>
                <w:rFonts w:hint="eastAsia" w:ascii="宋体" w:hAnsi="宋体" w:cs="宋体"/>
                <w:bCs/>
                <w:color w:val="auto"/>
                <w:szCs w:val="21"/>
                <w:highlight w:val="none"/>
              </w:rPr>
              <w:t>系统</w:t>
            </w:r>
            <w:r>
              <w:rPr>
                <w:rFonts w:hint="eastAsia" w:ascii="宋体" w:hAnsi="宋体" w:cs="宋体"/>
                <w:bCs/>
                <w:color w:val="auto"/>
                <w:szCs w:val="21"/>
                <w:highlight w:val="none"/>
                <w:lang w:eastAsia="en-US"/>
              </w:rPr>
              <w:t>电压：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142" w:type="dxa"/>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lang w:eastAsia="en-US"/>
              </w:rPr>
              <w:t>高压绕组</w:t>
            </w:r>
          </w:p>
        </w:tc>
        <w:tc>
          <w:tcPr>
            <w:tcW w:w="4154" w:type="dxa"/>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lang w:eastAsia="en-US"/>
              </w:rPr>
              <w:t>12kV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142" w:type="dxa"/>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lang w:eastAsia="en-US"/>
              </w:rPr>
              <w:t>低压绕组</w:t>
            </w:r>
          </w:p>
        </w:tc>
        <w:tc>
          <w:tcPr>
            <w:tcW w:w="4154" w:type="dxa"/>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1.1kV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96"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工频耐受电压（1分钟）:</w:t>
            </w:r>
          </w:p>
        </w:tc>
      </w:tr>
    </w:tbl>
    <w:p>
      <w:pPr>
        <w:spacing w:line="360" w:lineRule="auto"/>
        <w:rPr>
          <w:rFonts w:hint="eastAsia" w:ascii="宋体" w:hAnsi="宋体" w:cs="宋体"/>
          <w:bCs/>
          <w:color w:val="auto"/>
          <w:szCs w:val="21"/>
          <w:highlight w:val="none"/>
        </w:rPr>
      </w:pPr>
    </w:p>
    <w:p>
      <w:pPr>
        <w:spacing w:line="360" w:lineRule="auto"/>
        <w:outlineLvl w:val="1"/>
        <w:rPr>
          <w:rFonts w:hint="eastAsia" w:ascii="宋体" w:hAnsi="宋体" w:cs="宋体"/>
          <w:b/>
          <w:color w:val="auto"/>
          <w:szCs w:val="21"/>
          <w:highlight w:val="none"/>
        </w:rPr>
      </w:pPr>
      <w:bookmarkStart w:id="60" w:name="_Toc2810"/>
      <w:r>
        <w:rPr>
          <w:rFonts w:hint="eastAsia" w:ascii="宋体" w:hAnsi="宋体" w:cs="宋体"/>
          <w:b/>
          <w:color w:val="auto"/>
          <w:szCs w:val="21"/>
          <w:highlight w:val="none"/>
        </w:rPr>
        <w:t>1.9短路阻抗</w:t>
      </w:r>
      <w:bookmarkEnd w:id="60"/>
    </w:p>
    <w:p>
      <w:pPr>
        <w:pStyle w:val="4"/>
        <w:numPr>
          <w:ilvl w:val="0"/>
          <w:numId w:val="0"/>
        </w:numPr>
        <w:spacing w:line="360" w:lineRule="auto"/>
        <w:ind w:firstLine="420" w:firstLineChars="200"/>
        <w:rPr>
          <w:rFonts w:hint="eastAsia" w:ascii="宋体" w:hAnsi="宋体" w:cs="宋体"/>
          <w:color w:val="auto"/>
          <w:szCs w:val="21"/>
          <w:highlight w:val="none"/>
        </w:rPr>
      </w:pPr>
      <w:r>
        <w:rPr>
          <w:rFonts w:hint="eastAsia" w:ascii="宋体" w:hAnsi="宋体" w:cs="宋体"/>
          <w:bCs w:val="0"/>
          <w:color w:val="auto"/>
          <w:szCs w:val="21"/>
          <w:highlight w:val="none"/>
        </w:rPr>
        <w:t>1.9.1</w:t>
      </w:r>
      <w:r>
        <w:rPr>
          <w:rFonts w:hint="eastAsia" w:ascii="宋体" w:hAnsi="宋体" w:cs="宋体"/>
          <w:color w:val="auto"/>
          <w:szCs w:val="21"/>
          <w:highlight w:val="none"/>
        </w:rPr>
        <w:t>变压器在额定电压、额定频率、额定容量下，分接头处于主位时的短路阻抗满足GB/T10228-2015规定。</w:t>
      </w:r>
    </w:p>
    <w:p>
      <w:pPr>
        <w:spacing w:line="360" w:lineRule="auto"/>
        <w:outlineLvl w:val="1"/>
        <w:rPr>
          <w:rFonts w:hint="eastAsia" w:ascii="宋体" w:hAnsi="宋体" w:cs="宋体"/>
          <w:b/>
          <w:color w:val="auto"/>
          <w:szCs w:val="21"/>
          <w:highlight w:val="none"/>
        </w:rPr>
      </w:pPr>
      <w:bookmarkStart w:id="61" w:name="_Toc6242"/>
      <w:r>
        <w:rPr>
          <w:rFonts w:hint="eastAsia" w:ascii="宋体" w:hAnsi="宋体" w:cs="宋体"/>
          <w:b/>
          <w:color w:val="auto"/>
          <w:szCs w:val="21"/>
          <w:highlight w:val="none"/>
        </w:rPr>
        <w:t>1.10温升限值</w:t>
      </w:r>
      <w:bookmarkEnd w:id="61"/>
      <w:r>
        <w:rPr>
          <w:rFonts w:hint="eastAsia" w:ascii="宋体" w:hAnsi="宋体" w:cs="宋体"/>
          <w:b/>
          <w:color w:val="auto"/>
          <w:szCs w:val="21"/>
          <w:highlight w:val="none"/>
        </w:rPr>
        <w:t xml:space="preserve"> </w:t>
      </w:r>
    </w:p>
    <w:p>
      <w:pPr>
        <w:spacing w:line="360" w:lineRule="auto"/>
        <w:ind w:firstLine="420" w:firstLineChars="200"/>
        <w:outlineLvl w:val="1"/>
        <w:rPr>
          <w:rFonts w:hint="eastAsia" w:ascii="宋体" w:hAnsi="宋体" w:cs="宋体"/>
          <w:color w:val="auto"/>
          <w:szCs w:val="21"/>
          <w:highlight w:val="none"/>
        </w:rPr>
      </w:pPr>
      <w:r>
        <w:rPr>
          <w:rFonts w:hint="eastAsia" w:ascii="宋体" w:hAnsi="宋体" w:cs="宋体"/>
          <w:color w:val="auto"/>
          <w:szCs w:val="21"/>
          <w:highlight w:val="none"/>
        </w:rPr>
        <w:t xml:space="preserve">1.10.1变压器应能在满足GB1094.11规定的正常使用条件下，确保在额定容量下持续运行，绝缘等级为F级，额定电流下的绕组平均温升限值不超过100K。 </w:t>
      </w:r>
    </w:p>
    <w:p>
      <w:pPr>
        <w:spacing w:line="360" w:lineRule="auto"/>
        <w:outlineLvl w:val="1"/>
        <w:rPr>
          <w:rFonts w:hint="eastAsia" w:ascii="宋体" w:hAnsi="宋体" w:cs="宋体"/>
          <w:b/>
          <w:color w:val="auto"/>
          <w:szCs w:val="21"/>
          <w:highlight w:val="none"/>
        </w:rPr>
      </w:pPr>
      <w:bookmarkStart w:id="62" w:name="_Toc19653"/>
      <w:r>
        <w:rPr>
          <w:rFonts w:hint="eastAsia" w:ascii="宋体" w:hAnsi="宋体" w:cs="宋体"/>
          <w:b/>
          <w:color w:val="auto"/>
          <w:szCs w:val="21"/>
          <w:highlight w:val="none"/>
        </w:rPr>
        <w:t>1.11绕组连接和向量组</w:t>
      </w:r>
      <w:bookmarkEnd w:id="62"/>
    </w:p>
    <w:p>
      <w:pPr>
        <w:pStyle w:val="4"/>
        <w:numPr>
          <w:ilvl w:val="0"/>
          <w:numId w:val="0"/>
        </w:numPr>
        <w:spacing w:line="360" w:lineRule="auto"/>
        <w:ind w:firstLine="420" w:firstLineChars="200"/>
        <w:rPr>
          <w:rFonts w:hint="eastAsia" w:ascii="宋体" w:hAnsi="宋体" w:cs="宋体"/>
          <w:color w:val="auto"/>
          <w:szCs w:val="21"/>
          <w:highlight w:val="none"/>
        </w:rPr>
      </w:pPr>
      <w:r>
        <w:rPr>
          <w:rFonts w:hint="eastAsia" w:ascii="宋体" w:hAnsi="宋体" w:cs="宋体"/>
          <w:bCs w:val="0"/>
          <w:color w:val="auto"/>
          <w:szCs w:val="21"/>
          <w:highlight w:val="none"/>
        </w:rPr>
        <w:t>1.11.1</w:t>
      </w:r>
      <w:r>
        <w:rPr>
          <w:rFonts w:hint="eastAsia" w:ascii="宋体" w:hAnsi="宋体" w:cs="宋体"/>
          <w:color w:val="auto"/>
          <w:szCs w:val="21"/>
          <w:highlight w:val="none"/>
        </w:rPr>
        <w:t>高压侧三角形连接，低压侧星形连接，采用Dyn11型，需满足GB1094.11的要求。</w:t>
      </w:r>
    </w:p>
    <w:p>
      <w:pPr>
        <w:spacing w:line="360" w:lineRule="auto"/>
        <w:outlineLvl w:val="1"/>
        <w:rPr>
          <w:rFonts w:hint="eastAsia" w:ascii="宋体" w:hAnsi="宋体" w:cs="宋体"/>
          <w:b/>
          <w:color w:val="auto"/>
          <w:szCs w:val="21"/>
          <w:highlight w:val="none"/>
        </w:rPr>
      </w:pPr>
      <w:bookmarkStart w:id="63" w:name="_Toc14523"/>
      <w:r>
        <w:rPr>
          <w:rFonts w:hint="eastAsia" w:ascii="宋体" w:hAnsi="宋体" w:cs="宋体"/>
          <w:b/>
          <w:color w:val="auto"/>
          <w:szCs w:val="21"/>
          <w:highlight w:val="none"/>
        </w:rPr>
        <w:t>1.12损耗及基本技术参数</w:t>
      </w:r>
      <w:bookmarkEnd w:id="63"/>
    </w:p>
    <w:p>
      <w:pPr>
        <w:spacing w:line="360" w:lineRule="auto"/>
        <w:ind w:firstLine="420" w:firstLineChars="200"/>
        <w:rPr>
          <w:rFonts w:hint="eastAsia" w:ascii="宋体" w:hAnsi="宋体" w:cs="宋体"/>
          <w:bCs/>
          <w:color w:val="auto"/>
          <w:szCs w:val="21"/>
          <w:highlight w:val="none"/>
        </w:rPr>
      </w:pPr>
      <w:r>
        <w:rPr>
          <w:rFonts w:hint="eastAsia" w:ascii="宋体" w:hAnsi="宋体" w:cs="宋体"/>
          <w:bCs/>
          <w:color w:val="auto"/>
          <w:szCs w:val="21"/>
          <w:highlight w:val="none"/>
        </w:rPr>
        <w:t>性能参数允许偏差范围满足GB1094.1规定。</w:t>
      </w:r>
    </w:p>
    <w:tbl>
      <w:tblPr>
        <w:tblStyle w:val="15"/>
        <w:tblW w:w="7905" w:type="dxa"/>
        <w:tblInd w:w="4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560"/>
        <w:gridCol w:w="5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变压器型号</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SCB14-1000-10/</w:t>
            </w:r>
            <w:r>
              <w:rPr>
                <w:rFonts w:ascii="宋体" w:hAnsi="宋体" w:cs="宋体"/>
                <w:bCs/>
                <w:color w:val="auto"/>
                <w:szCs w:val="21"/>
                <w:highlight w:val="none"/>
              </w:rPr>
              <w:t>0.4kV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额定容量（kVA）</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数量</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额定电压比（kV）</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10/0.4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分接范围（%）</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sym w:font="Symbol" w:char="F0B1"/>
            </w:r>
            <w:r>
              <w:rPr>
                <w:rFonts w:hint="eastAsia" w:ascii="宋体" w:hAnsi="宋体" w:cs="宋体"/>
                <w:bCs/>
                <w:color w:val="auto"/>
                <w:szCs w:val="21"/>
                <w:highlight w:val="none"/>
              </w:rPr>
              <w:t>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额定频率（Hz）</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相数</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最大系统电压（kV）</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12/≤1.1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额定短时工频耐受电压（有效值）（kV）</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35/3</w:t>
            </w:r>
          </w:p>
          <w:p>
            <w:pPr>
              <w:spacing w:line="360" w:lineRule="auto"/>
              <w:rPr>
                <w:rFonts w:hint="eastAsia" w:ascii="宋体" w:hAnsi="宋体" w:cs="宋体"/>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额定雷电冲击耐受电压（峰值）（kV）</w:t>
            </w:r>
          </w:p>
        </w:tc>
        <w:tc>
          <w:tcPr>
            <w:tcW w:w="5074" w:type="dxa"/>
            <w:vAlign w:val="center"/>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短路阻抗（%）</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连接组别</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Dyn11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vAlign w:val="center"/>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空载损耗（W）</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≤1205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vAlign w:val="center"/>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负载损耗（W）</w:t>
            </w:r>
          </w:p>
        </w:tc>
        <w:tc>
          <w:tcPr>
            <w:tcW w:w="5074" w:type="dxa"/>
          </w:tcPr>
          <w:p>
            <w:pPr>
              <w:spacing w:line="360" w:lineRule="auto"/>
              <w:jc w:val="center"/>
              <w:rPr>
                <w:rFonts w:ascii="宋体" w:hAnsi="宋体" w:cs="宋体"/>
                <w:bCs/>
                <w:color w:val="auto"/>
                <w:szCs w:val="21"/>
                <w:highlight w:val="none"/>
              </w:rPr>
            </w:pPr>
            <w:r>
              <w:rPr>
                <w:rFonts w:hint="eastAsia" w:ascii="宋体" w:hAnsi="宋体" w:cs="宋体"/>
                <w:bCs/>
                <w:color w:val="auto"/>
                <w:szCs w:val="21"/>
                <w:highlight w:val="none"/>
              </w:rPr>
              <w:t>≤6885</w:t>
            </w:r>
            <w:r>
              <w:rPr>
                <w:rFonts w:ascii="宋体" w:hAnsi="宋体" w:cs="宋体"/>
                <w:bCs/>
                <w:color w:val="auto"/>
                <w:szCs w:val="21"/>
                <w:highlight w:val="none"/>
              </w:rPr>
              <w:t>(100</w:t>
            </w:r>
            <w:r>
              <w:rPr>
                <w:rFonts w:hint="eastAsia" w:ascii="宋体" w:hAnsi="宋体" w:cs="宋体"/>
                <w:bCs/>
                <w:color w:val="auto"/>
                <w:szCs w:val="21"/>
                <w:highlight w:val="none"/>
              </w:rPr>
              <w:t>°C</w:t>
            </w:r>
            <w:r>
              <w:rPr>
                <w:rFonts w:ascii="宋体" w:hAnsi="宋体" w:cs="宋体"/>
                <w:bCs/>
                <w:color w:val="auto"/>
                <w:szCs w:val="21"/>
                <w:highlight w:val="none"/>
              </w:rPr>
              <w:t>),</w:t>
            </w:r>
            <w:r>
              <w:rPr>
                <w:rFonts w:hint="eastAsia" w:ascii="宋体" w:hAnsi="宋体" w:cs="宋体"/>
                <w:bCs/>
                <w:color w:val="auto"/>
                <w:szCs w:val="21"/>
                <w:highlight w:val="none"/>
              </w:rPr>
              <w:t xml:space="preserve"> ≤7315</w:t>
            </w:r>
            <w:r>
              <w:rPr>
                <w:rFonts w:ascii="宋体" w:hAnsi="宋体" w:cs="宋体"/>
                <w:bCs/>
                <w:color w:val="auto"/>
                <w:szCs w:val="21"/>
                <w:highlight w:val="none"/>
              </w:rPr>
              <w:t>(120</w:t>
            </w:r>
            <w:r>
              <w:rPr>
                <w:rFonts w:hint="eastAsia" w:ascii="宋体" w:hAnsi="宋体" w:cs="宋体"/>
                <w:bCs/>
                <w:color w:val="auto"/>
                <w:szCs w:val="21"/>
                <w:highlight w:val="none"/>
              </w:rPr>
              <w:t>°C</w:t>
            </w:r>
            <w:r>
              <w:rPr>
                <w:rFonts w:ascii="宋体" w:hAnsi="宋体" w:cs="宋体"/>
                <w:bCs/>
                <w:color w:val="auto"/>
                <w:szCs w:val="21"/>
                <w:highlight w:val="none"/>
              </w:rPr>
              <w:t>),</w:t>
            </w:r>
          </w:p>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 xml:space="preserve"> ≤7885</w:t>
            </w:r>
            <w:r>
              <w:rPr>
                <w:rFonts w:ascii="宋体" w:hAnsi="宋体" w:cs="宋体"/>
                <w:bCs/>
                <w:color w:val="auto"/>
                <w:szCs w:val="21"/>
                <w:highlight w:val="none"/>
              </w:rPr>
              <w:t>(145</w:t>
            </w:r>
            <w:r>
              <w:rPr>
                <w:rFonts w:hint="eastAsia" w:ascii="宋体" w:hAnsi="宋体" w:cs="宋体"/>
                <w:bCs/>
                <w:color w:val="auto"/>
                <w:szCs w:val="21"/>
                <w:highlight w:val="none"/>
              </w:rPr>
              <w:t>°C</w:t>
            </w:r>
            <w:r>
              <w:rPr>
                <w:rFonts w:ascii="宋体" w:hAnsi="宋体" w:cs="宋体"/>
                <w:bCs/>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空载电流（%）</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 xml:space="preserve"> 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声压级（dB）</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局部放电（pC）</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 xml:space="preserve"> ≤5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绝缘等级</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绕组温升（K）</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冷却方式</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AN/AF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restart"/>
            <w:vAlign w:val="center"/>
          </w:tcPr>
          <w:p>
            <w:pPr>
              <w:spacing w:line="360" w:lineRule="auto"/>
              <w:ind w:firstLine="210" w:firstLineChars="100"/>
              <w:rPr>
                <w:rFonts w:hint="eastAsia" w:ascii="宋体" w:hAnsi="宋体" w:cs="宋体"/>
                <w:bCs/>
                <w:color w:val="auto"/>
                <w:szCs w:val="21"/>
                <w:highlight w:val="none"/>
              </w:rPr>
            </w:pPr>
            <w:r>
              <w:rPr>
                <w:rFonts w:hint="eastAsia" w:ascii="宋体" w:hAnsi="宋体" w:cs="宋体"/>
                <w:bCs/>
                <w:color w:val="auto"/>
                <w:szCs w:val="21"/>
                <w:highlight w:val="none"/>
              </w:rPr>
              <w:t>罩壳</w:t>
            </w:r>
          </w:p>
        </w:tc>
        <w:tc>
          <w:tcPr>
            <w:tcW w:w="1560" w:type="dxa"/>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防护等级</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IP21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tcPr>
          <w:p>
            <w:pPr>
              <w:spacing w:line="360" w:lineRule="auto"/>
              <w:rPr>
                <w:rFonts w:hint="eastAsia" w:ascii="宋体" w:hAnsi="宋体" w:cs="宋体"/>
                <w:bCs/>
                <w:color w:val="auto"/>
                <w:szCs w:val="21"/>
                <w:highlight w:val="none"/>
              </w:rPr>
            </w:pPr>
          </w:p>
        </w:tc>
        <w:tc>
          <w:tcPr>
            <w:tcW w:w="1560" w:type="dxa"/>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颜色</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RAL7035(浅灰色)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vMerge w:val="continue"/>
          </w:tcPr>
          <w:p>
            <w:pPr>
              <w:spacing w:line="360" w:lineRule="auto"/>
              <w:rPr>
                <w:rFonts w:hint="eastAsia" w:ascii="宋体" w:hAnsi="宋体" w:cs="宋体"/>
                <w:bCs/>
                <w:color w:val="auto"/>
                <w:szCs w:val="21"/>
                <w:highlight w:val="none"/>
              </w:rPr>
            </w:pPr>
          </w:p>
        </w:tc>
        <w:tc>
          <w:tcPr>
            <w:tcW w:w="1560" w:type="dxa"/>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材料</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钢板,表面采用粉末喷涂,防腐满足C3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进出线方式</w:t>
            </w:r>
          </w:p>
        </w:tc>
        <w:tc>
          <w:tcPr>
            <w:tcW w:w="5074" w:type="dxa"/>
          </w:tcPr>
          <w:p>
            <w:pPr>
              <w:spacing w:line="360" w:lineRule="auto"/>
              <w:ind w:left="425" w:firstLine="840" w:firstLineChars="400"/>
              <w:rPr>
                <w:rFonts w:hint="eastAsia" w:ascii="宋体" w:hAnsi="宋体" w:cs="宋体"/>
                <w:bCs/>
                <w:color w:val="auto"/>
                <w:szCs w:val="21"/>
                <w:highlight w:val="none"/>
              </w:rPr>
            </w:pPr>
            <w:r>
              <w:rPr>
                <w:rFonts w:hint="eastAsia" w:ascii="宋体" w:hAnsi="宋体" w:cs="宋体"/>
                <w:bCs/>
                <w:color w:val="auto"/>
                <w:szCs w:val="21"/>
                <w:highlight w:val="none"/>
              </w:rPr>
              <w:t>满足设计要求（详见图纸）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1" w:type="dxa"/>
            <w:gridSpan w:val="2"/>
          </w:tcPr>
          <w:p>
            <w:pPr>
              <w:spacing w:line="360" w:lineRule="auto"/>
              <w:rPr>
                <w:rFonts w:hint="eastAsia" w:ascii="宋体" w:hAnsi="宋体" w:cs="宋体"/>
                <w:bCs/>
                <w:color w:val="auto"/>
                <w:szCs w:val="21"/>
                <w:highlight w:val="none"/>
              </w:rPr>
            </w:pPr>
            <w:r>
              <w:rPr>
                <w:rFonts w:hint="eastAsia" w:ascii="宋体" w:hAnsi="宋体" w:cs="宋体"/>
                <w:bCs/>
                <w:color w:val="auto"/>
                <w:szCs w:val="21"/>
                <w:highlight w:val="none"/>
              </w:rPr>
              <w:t>变压器包装要求</w:t>
            </w:r>
          </w:p>
        </w:tc>
        <w:tc>
          <w:tcPr>
            <w:tcW w:w="5074" w:type="dxa"/>
          </w:tcPr>
          <w:p>
            <w:pPr>
              <w:spacing w:line="360" w:lineRule="auto"/>
              <w:jc w:val="center"/>
              <w:rPr>
                <w:rFonts w:hint="eastAsia" w:ascii="宋体" w:hAnsi="宋体" w:cs="宋体"/>
                <w:bCs/>
                <w:color w:val="auto"/>
                <w:szCs w:val="21"/>
                <w:highlight w:val="none"/>
              </w:rPr>
            </w:pPr>
            <w:r>
              <w:rPr>
                <w:rFonts w:hint="eastAsia" w:ascii="宋体" w:hAnsi="宋体" w:cs="宋体"/>
                <w:bCs/>
                <w:color w:val="auto"/>
                <w:szCs w:val="21"/>
                <w:highlight w:val="none"/>
              </w:rPr>
              <w:t>木箱包装</w:t>
            </w:r>
          </w:p>
        </w:tc>
      </w:tr>
    </w:tbl>
    <w:p>
      <w:pPr>
        <w:spacing w:line="360" w:lineRule="auto"/>
        <w:rPr>
          <w:rFonts w:hint="eastAsia" w:ascii="宋体" w:hAnsi="宋体" w:cs="宋体"/>
          <w:bCs/>
          <w:color w:val="auto"/>
          <w:szCs w:val="21"/>
          <w:highlight w:val="none"/>
        </w:rPr>
      </w:pPr>
    </w:p>
    <w:p>
      <w:pPr>
        <w:spacing w:line="360" w:lineRule="auto"/>
        <w:outlineLvl w:val="1"/>
        <w:rPr>
          <w:rFonts w:hint="eastAsia" w:ascii="宋体" w:hAnsi="宋体" w:cs="宋体"/>
          <w:b/>
          <w:color w:val="auto"/>
          <w:szCs w:val="21"/>
          <w:highlight w:val="none"/>
        </w:rPr>
      </w:pPr>
      <w:bookmarkStart w:id="64" w:name="_Toc15530"/>
      <w:r>
        <w:rPr>
          <w:rFonts w:hint="eastAsia" w:ascii="宋体" w:hAnsi="宋体" w:cs="宋体"/>
          <w:b/>
          <w:color w:val="auto"/>
          <w:szCs w:val="21"/>
          <w:highlight w:val="none"/>
        </w:rPr>
        <w:t>1.13短路的耐受能力</w:t>
      </w:r>
      <w:bookmarkEnd w:id="64"/>
    </w:p>
    <w:p>
      <w:pPr>
        <w:pStyle w:val="4"/>
        <w:numPr>
          <w:ilvl w:val="0"/>
          <w:numId w:val="0"/>
        </w:numPr>
        <w:spacing w:line="360" w:lineRule="auto"/>
        <w:ind w:firstLine="420" w:firstLineChars="200"/>
        <w:rPr>
          <w:rFonts w:hint="eastAsia" w:ascii="宋体" w:hAnsi="宋体" w:cs="宋体"/>
          <w:color w:val="auto"/>
          <w:szCs w:val="21"/>
          <w:highlight w:val="none"/>
        </w:rPr>
      </w:pPr>
      <w:r>
        <w:rPr>
          <w:rFonts w:hint="eastAsia" w:ascii="宋体" w:hAnsi="宋体" w:cs="宋体"/>
          <w:bCs w:val="0"/>
          <w:color w:val="auto"/>
          <w:szCs w:val="21"/>
          <w:highlight w:val="none"/>
        </w:rPr>
        <w:t>1.13.1</w:t>
      </w:r>
      <w:r>
        <w:rPr>
          <w:rFonts w:hint="eastAsia" w:ascii="宋体" w:hAnsi="宋体" w:cs="宋体"/>
          <w:color w:val="auto"/>
          <w:szCs w:val="21"/>
          <w:highlight w:val="none"/>
        </w:rPr>
        <w:t>变压器承受短路的耐热能力:</w:t>
      </w:r>
    </w:p>
    <w:p>
      <w:pPr>
        <w:pStyle w:val="4"/>
        <w:numPr>
          <w:ilvl w:val="0"/>
          <w:numId w:val="0"/>
        </w:num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依照GB1094.5的要求当变压器运行在最大运行方式下的任意分接头位置时，变压器应满足热稳定的要求，能持续承受2s时间的外部短路耐热能力的电流,并且其铜绕组温度应不超过350℃。</w:t>
      </w:r>
    </w:p>
    <w:p>
      <w:pPr>
        <w:pStyle w:val="4"/>
        <w:numPr>
          <w:ilvl w:val="0"/>
          <w:numId w:val="0"/>
        </w:numPr>
        <w:spacing w:line="360" w:lineRule="auto"/>
        <w:ind w:firstLine="420" w:firstLineChars="200"/>
        <w:rPr>
          <w:rFonts w:hint="eastAsia" w:ascii="宋体" w:hAnsi="宋体" w:cs="宋体"/>
          <w:color w:val="auto"/>
          <w:szCs w:val="21"/>
          <w:highlight w:val="none"/>
        </w:rPr>
      </w:pPr>
      <w:r>
        <w:rPr>
          <w:rFonts w:hint="eastAsia" w:ascii="宋体" w:hAnsi="宋体" w:cs="宋体"/>
          <w:bCs w:val="0"/>
          <w:color w:val="auto"/>
          <w:szCs w:val="21"/>
          <w:highlight w:val="none"/>
        </w:rPr>
        <w:t>1.13.2</w:t>
      </w:r>
      <w:r>
        <w:rPr>
          <w:rFonts w:hint="eastAsia" w:ascii="宋体" w:hAnsi="宋体" w:cs="宋体"/>
          <w:color w:val="auto"/>
          <w:szCs w:val="21"/>
          <w:highlight w:val="none"/>
        </w:rPr>
        <w:t>变压器承受短路的动稳定能力</w:t>
      </w:r>
    </w:p>
    <w:p>
      <w:pPr>
        <w:spacing w:line="360" w:lineRule="auto"/>
        <w:ind w:firstLine="420" w:firstLineChars="200"/>
        <w:rPr>
          <w:rFonts w:hint="eastAsia" w:ascii="宋体" w:hAnsi="宋体" w:cs="宋体"/>
          <w:bCs/>
          <w:color w:val="auto"/>
          <w:szCs w:val="21"/>
          <w:highlight w:val="none"/>
        </w:rPr>
      </w:pPr>
      <w:r>
        <w:rPr>
          <w:rFonts w:hint="eastAsia" w:ascii="宋体" w:hAnsi="宋体" w:cs="宋体"/>
          <w:bCs/>
          <w:color w:val="auto"/>
          <w:szCs w:val="21"/>
          <w:highlight w:val="none"/>
        </w:rPr>
        <w:t>变压器运行在任何分接位置上,应能承受国家标准GB1094.5所规定的，满足热稳定的要求，能持续承受0.5s时间的外部动稳定短路试验电流值而不损坏或位移，承受短路的动稳定能力。</w:t>
      </w:r>
    </w:p>
    <w:p>
      <w:pPr>
        <w:spacing w:line="360" w:lineRule="auto"/>
        <w:outlineLvl w:val="1"/>
        <w:rPr>
          <w:rFonts w:hint="eastAsia" w:ascii="宋体" w:hAnsi="宋体" w:cs="宋体"/>
          <w:b/>
          <w:color w:val="auto"/>
          <w:szCs w:val="21"/>
          <w:highlight w:val="none"/>
        </w:rPr>
      </w:pPr>
      <w:bookmarkStart w:id="65" w:name="_Toc28630"/>
      <w:r>
        <w:rPr>
          <w:rFonts w:hint="eastAsia" w:ascii="宋体" w:hAnsi="宋体" w:cs="宋体"/>
          <w:b/>
          <w:color w:val="auto"/>
          <w:szCs w:val="21"/>
          <w:highlight w:val="none"/>
        </w:rPr>
        <w:t>1.14谐波电压</w:t>
      </w:r>
      <w:bookmarkEnd w:id="65"/>
    </w:p>
    <w:p>
      <w:pPr>
        <w:pStyle w:val="4"/>
        <w:numPr>
          <w:ilvl w:val="0"/>
          <w:numId w:val="0"/>
        </w:numPr>
        <w:spacing w:line="360" w:lineRule="auto"/>
        <w:ind w:firstLine="420" w:firstLineChars="200"/>
        <w:rPr>
          <w:rFonts w:hint="eastAsia" w:ascii="宋体" w:hAnsi="宋体" w:cs="宋体"/>
          <w:color w:val="auto"/>
          <w:szCs w:val="21"/>
          <w:highlight w:val="none"/>
        </w:rPr>
      </w:pPr>
      <w:r>
        <w:rPr>
          <w:rFonts w:hint="eastAsia" w:ascii="宋体" w:hAnsi="宋体" w:cs="宋体"/>
          <w:bCs w:val="0"/>
          <w:color w:val="auto"/>
          <w:szCs w:val="21"/>
          <w:highlight w:val="none"/>
        </w:rPr>
        <w:t>1.14.1变</w:t>
      </w:r>
      <w:r>
        <w:rPr>
          <w:rFonts w:hint="eastAsia" w:cs="宋体"/>
          <w:color w:val="auto"/>
          <w:szCs w:val="21"/>
          <w:highlight w:val="none"/>
        </w:rPr>
        <w:t>压器的谐波电压，特别是三次和五次谐波，应该对其通讯电路保持最小可能的干扰影响。</w:t>
      </w:r>
    </w:p>
    <w:p>
      <w:pPr>
        <w:spacing w:line="360" w:lineRule="auto"/>
        <w:outlineLvl w:val="1"/>
        <w:rPr>
          <w:rFonts w:hint="eastAsia" w:ascii="宋体" w:hAnsi="宋体" w:cs="宋体"/>
          <w:b/>
          <w:color w:val="auto"/>
          <w:szCs w:val="21"/>
          <w:highlight w:val="none"/>
        </w:rPr>
      </w:pPr>
      <w:bookmarkStart w:id="66" w:name="_Toc5661"/>
      <w:r>
        <w:rPr>
          <w:rFonts w:hint="eastAsia" w:ascii="宋体" w:hAnsi="宋体" w:cs="宋体"/>
          <w:b/>
          <w:color w:val="auto"/>
          <w:szCs w:val="21"/>
          <w:highlight w:val="none"/>
        </w:rPr>
        <w:t>1.15磁路的磁通密度</w:t>
      </w:r>
      <w:bookmarkEnd w:id="66"/>
    </w:p>
    <w:p>
      <w:pPr>
        <w:pStyle w:val="4"/>
        <w:numPr>
          <w:ilvl w:val="2"/>
          <w:numId w:val="0"/>
        </w:numPr>
        <w:spacing w:line="360" w:lineRule="auto"/>
        <w:ind w:firstLine="420" w:firstLineChars="200"/>
        <w:rPr>
          <w:rFonts w:hint="eastAsia" w:cs="宋体"/>
          <w:color w:val="auto"/>
          <w:szCs w:val="21"/>
          <w:highlight w:val="none"/>
        </w:rPr>
      </w:pPr>
      <w:r>
        <w:rPr>
          <w:rFonts w:hint="eastAsia" w:ascii="宋体" w:hAnsi="宋体" w:cs="宋体"/>
          <w:bCs w:val="0"/>
          <w:color w:val="auto"/>
          <w:szCs w:val="21"/>
          <w:highlight w:val="none"/>
        </w:rPr>
        <w:t>1.15.1</w:t>
      </w:r>
      <w:r>
        <w:rPr>
          <w:rFonts w:hint="eastAsia" w:cs="宋体"/>
          <w:color w:val="auto"/>
          <w:szCs w:val="21"/>
          <w:highlight w:val="none"/>
        </w:rPr>
        <w:t>当变压器工作在额定情况下分接头处于主位时，磁路里任意一点的磁通密度应远离电工钢带的饱和点，保准其安全可靠性。</w:t>
      </w:r>
    </w:p>
    <w:p>
      <w:pPr>
        <w:spacing w:line="360" w:lineRule="auto"/>
        <w:outlineLvl w:val="1"/>
        <w:rPr>
          <w:rFonts w:hint="eastAsia" w:ascii="宋体" w:hAnsi="宋体" w:cs="宋体"/>
          <w:b/>
          <w:color w:val="auto"/>
          <w:szCs w:val="21"/>
          <w:highlight w:val="none"/>
        </w:rPr>
      </w:pPr>
      <w:bookmarkStart w:id="67" w:name="_Toc11738"/>
      <w:r>
        <w:rPr>
          <w:rFonts w:hint="eastAsia" w:ascii="宋体" w:hAnsi="宋体" w:cs="宋体"/>
          <w:b/>
          <w:color w:val="auto"/>
          <w:szCs w:val="21"/>
          <w:highlight w:val="none"/>
        </w:rPr>
        <w:t>1.16绕组绝缘等级</w:t>
      </w:r>
      <w:bookmarkEnd w:id="67"/>
    </w:p>
    <w:p>
      <w:pPr>
        <w:pStyle w:val="4"/>
        <w:numPr>
          <w:ilvl w:val="2"/>
          <w:numId w:val="0"/>
        </w:numPr>
        <w:spacing w:line="360" w:lineRule="auto"/>
        <w:ind w:firstLine="420" w:firstLineChars="200"/>
        <w:rPr>
          <w:rFonts w:hint="eastAsia" w:cs="宋体"/>
          <w:color w:val="auto"/>
          <w:szCs w:val="21"/>
          <w:highlight w:val="none"/>
        </w:rPr>
      </w:pPr>
      <w:r>
        <w:rPr>
          <w:rFonts w:hint="eastAsia" w:ascii="宋体" w:hAnsi="宋体" w:cs="宋体"/>
          <w:bCs w:val="0"/>
          <w:color w:val="auto"/>
          <w:szCs w:val="21"/>
          <w:highlight w:val="none"/>
        </w:rPr>
        <w:t>1.16.1</w:t>
      </w:r>
      <w:r>
        <w:rPr>
          <w:rFonts w:hint="eastAsia" w:cs="宋体"/>
          <w:color w:val="auto"/>
          <w:szCs w:val="21"/>
          <w:highlight w:val="none"/>
        </w:rPr>
        <w:t xml:space="preserve">根据GB1094.11标准规范，绕组的绝缘等级应为Class F，并且温升不得超过100K。 </w:t>
      </w:r>
    </w:p>
    <w:p>
      <w:pPr>
        <w:pStyle w:val="3"/>
        <w:numPr>
          <w:ilvl w:val="0"/>
          <w:numId w:val="0"/>
        </w:numPr>
        <w:spacing w:line="360" w:lineRule="auto"/>
        <w:rPr>
          <w:rFonts w:hint="eastAsia" w:ascii="宋体" w:hAnsi="宋体" w:cs="宋体"/>
          <w:b/>
          <w:bCs w:val="0"/>
          <w:color w:val="auto"/>
          <w:szCs w:val="21"/>
          <w:highlight w:val="none"/>
        </w:rPr>
      </w:pPr>
      <w:bookmarkStart w:id="68" w:name="_Toc10521"/>
      <w:r>
        <w:rPr>
          <w:rFonts w:hint="eastAsia" w:ascii="宋体" w:hAnsi="宋体" w:cs="宋体"/>
          <w:b/>
          <w:bCs w:val="0"/>
          <w:color w:val="auto"/>
          <w:szCs w:val="21"/>
          <w:highlight w:val="none"/>
        </w:rPr>
        <w:t>1.17噪声、振动</w:t>
      </w:r>
      <w:bookmarkEnd w:id="68"/>
    </w:p>
    <w:p>
      <w:pPr>
        <w:pStyle w:val="3"/>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1.17.1根据GB1094.101标准规范，变压器的噪声水平不能超过3.11《损耗及基本参数》规定。</w:t>
      </w:r>
    </w:p>
    <w:p>
      <w:pPr>
        <w:pStyle w:val="3"/>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1.17.2变压器的振动水平应维持在最小的振动范围之内，不能对变压器的元件、部件或材料产生额外的应力。</w:t>
      </w:r>
    </w:p>
    <w:p>
      <w:pPr>
        <w:pStyle w:val="4"/>
        <w:numPr>
          <w:ilvl w:val="2"/>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1.17.3监管人员有权拒绝任何不符合指定的噪声水平或振动水平要求的变压器。</w:t>
      </w:r>
    </w:p>
    <w:p>
      <w:pPr>
        <w:spacing w:line="360" w:lineRule="auto"/>
        <w:rPr>
          <w:rFonts w:hint="eastAsia"/>
          <w:color w:val="auto"/>
          <w:highlight w:val="none"/>
        </w:rPr>
      </w:pPr>
      <w:r>
        <w:rPr>
          <w:rFonts w:hint="eastAsia" w:ascii="宋体" w:hAnsi="宋体" w:cs="宋体"/>
          <w:b/>
          <w:color w:val="auto"/>
          <w:szCs w:val="21"/>
          <w:highlight w:val="none"/>
        </w:rPr>
        <w:t>1.18绕组和绕组结构</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1.18.1绕组的绕制采用的是微机控制。高压和低压绕组的结构设计应达到最佳的电压分配、电气和散热性能。</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1.18.2低压绕组</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低压绕组采用优质铜箔和复合绝缘材料绕制而成，低压线圈应设置多层散热气道，散热气道应采用散热性能更优的铝管替代传统的玻璃纤维棒，从而改善线圈的散热效果，各绕组的终端采用被证实的技术可靠连接（例气体保护焊）。</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1.18.3高压绕组</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变压器高压绕组采用优质铜带绕制，绕组在真空下采用H级优质环氧树脂浇注而成，浇注应采用先进的卧式浇注工艺；高压线圈内外层均采用高强度玻璃纤维网加强，从而保证线圈不会因温度的剧烈变化而出现绝缘开裂现象。</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1.18.4绕组设计应遵循减少在变压器内不平衡力最小的原则，尤其是短路情况下。</w:t>
      </w:r>
    </w:p>
    <w:p>
      <w:pPr>
        <w:spacing w:line="360" w:lineRule="auto"/>
        <w:rPr>
          <w:rFonts w:hint="eastAsia"/>
          <w:color w:val="auto"/>
          <w:highlight w:val="none"/>
        </w:rPr>
      </w:pPr>
      <w:r>
        <w:rPr>
          <w:rFonts w:hint="eastAsia" w:ascii="宋体" w:hAnsi="宋体" w:cs="宋体"/>
          <w:b/>
          <w:color w:val="auto"/>
          <w:szCs w:val="21"/>
          <w:highlight w:val="none"/>
        </w:rPr>
        <w:t>1.19变压器外壳（室内型）</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1.19.1变压器的罩壳防护等级应是至少IP21，为保证冷却空气的流通，外壳应有足够的通风网孔。</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1.19.2罩壳应由不易燃的优质冷扎钢板材料制成，满足C3的防腐要求。变压器带罩壳后可满足满负荷运行。</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1.19.3罩壳应是易于拆装设计，打开罩壳顶部起吊窗，变压器带吊装耳环。</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1.19.4变压器的罩壳门上应设置连锁开关（一常开一常闭），开门即有跳闸信号节点输出，用于启动联跳10kV变压器馈出电路。</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1.19.5变压器的罩壳和表面处理应适合热带条件，涂漆和处理工艺应按照制造厂的标准规范。</w:t>
      </w:r>
    </w:p>
    <w:p>
      <w:pPr>
        <w:spacing w:line="360" w:lineRule="auto"/>
        <w:ind w:firstLine="422" w:firstLineChars="200"/>
        <w:rPr>
          <w:rFonts w:hint="eastAsia" w:ascii="宋体" w:hAnsi="宋体" w:cs="宋体"/>
          <w:b/>
          <w:color w:val="auto"/>
          <w:szCs w:val="21"/>
          <w:highlight w:val="none"/>
        </w:rPr>
      </w:pPr>
      <w:r>
        <w:rPr>
          <w:rFonts w:hint="eastAsia" w:ascii="宋体" w:hAnsi="宋体" w:cs="宋体"/>
          <w:b/>
          <w:color w:val="auto"/>
          <w:szCs w:val="21"/>
          <w:highlight w:val="none"/>
        </w:rPr>
        <w:t>1.20变压器铁芯</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1.20.1铁芯材料采用冷轧晶粒取向硅钢片结构从而达到理想的空载损耗值。</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1.20.2在操作条件期间，为了减少损耗和噪声水平，‘阶梯接缝式’施工被应用于铁芯结构制造。硅钢片应采用德国乔格剪切线剪切并自动叠装，从而保证硅钢片剪切毛刺小（&lt;0.02mm）、叠片的接缝小而均匀，采用全斜接缝的叠片式结构,使产品具有空载损耗低、噪音低的优点；</w:t>
      </w:r>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1.20.3加工后的硅钢片要喷涂和涂漆。为防止大气中的湿气，全部铁芯都要有保护涂层。变压器铁心和金属件均应可靠接地，并有明显的接地标志，铁心和金属件均有防锈树脂漆保护层。</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1.20.4在安装铁芯时应有消除噪音的橡胶垫，安装与铁芯与底座间。</w:t>
      </w:r>
    </w:p>
    <w:p>
      <w:pPr>
        <w:pStyle w:val="3"/>
        <w:numPr>
          <w:ilvl w:val="0"/>
          <w:numId w:val="0"/>
        </w:numPr>
        <w:spacing w:line="360" w:lineRule="auto"/>
        <w:rPr>
          <w:rFonts w:hint="eastAsia" w:ascii="宋体" w:hAnsi="宋体" w:cs="宋体"/>
          <w:b/>
          <w:bCs w:val="0"/>
          <w:color w:val="auto"/>
          <w:szCs w:val="21"/>
          <w:highlight w:val="none"/>
        </w:rPr>
      </w:pPr>
      <w:bookmarkStart w:id="69" w:name="_Toc2406"/>
      <w:r>
        <w:rPr>
          <w:rFonts w:hint="eastAsia" w:ascii="宋体" w:hAnsi="宋体" w:cs="宋体"/>
          <w:b/>
          <w:bCs w:val="0"/>
          <w:color w:val="auto"/>
          <w:szCs w:val="21"/>
          <w:highlight w:val="none"/>
        </w:rPr>
        <w:t>1.21真空浇注</w:t>
      </w:r>
      <w:bookmarkEnd w:id="69"/>
    </w:p>
    <w:p>
      <w:pPr>
        <w:spacing w:line="360" w:lineRule="auto"/>
        <w:ind w:firstLine="420" w:firstLineChars="200"/>
        <w:outlineLvl w:val="2"/>
        <w:rPr>
          <w:rFonts w:hint="eastAsia" w:ascii="宋体" w:hAnsi="宋体" w:cs="宋体"/>
          <w:color w:val="auto"/>
          <w:szCs w:val="21"/>
          <w:highlight w:val="none"/>
        </w:rPr>
      </w:pPr>
      <w:r>
        <w:rPr>
          <w:rFonts w:hint="eastAsia" w:ascii="宋体" w:hAnsi="宋体" w:cs="宋体"/>
          <w:color w:val="auto"/>
          <w:szCs w:val="21"/>
          <w:highlight w:val="none"/>
        </w:rPr>
        <w:t>1.21.1真空浇注过程应该在非常严格的条件下进行以确保达到最优质的绝缘和机械特性。</w:t>
      </w:r>
    </w:p>
    <w:p>
      <w:pPr>
        <w:pStyle w:val="3"/>
        <w:numPr>
          <w:ilvl w:val="0"/>
          <w:numId w:val="0"/>
        </w:numPr>
        <w:spacing w:line="360" w:lineRule="auto"/>
        <w:rPr>
          <w:rFonts w:hint="eastAsia" w:ascii="宋体" w:hAnsi="宋体" w:cs="宋体"/>
          <w:bCs w:val="0"/>
          <w:color w:val="auto"/>
          <w:szCs w:val="21"/>
          <w:highlight w:val="none"/>
        </w:rPr>
      </w:pPr>
      <w:bookmarkStart w:id="70" w:name="_Toc26131"/>
      <w:r>
        <w:rPr>
          <w:rFonts w:hint="eastAsia" w:ascii="宋体" w:hAnsi="宋体" w:cs="宋体"/>
          <w:bCs w:val="0"/>
          <w:color w:val="auto"/>
          <w:szCs w:val="21"/>
          <w:highlight w:val="none"/>
        </w:rPr>
        <w:t>1.22冷却设备</w:t>
      </w:r>
      <w:bookmarkEnd w:id="70"/>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1.22.1变压器应该被设计成空气自然冷却型。还应成套供给强迫冷却风扇。冷却系统能自动和手动启动，当变压器热点温度超过上述规定值时能自启动。应提供一只手动操作的“自动-手动”两个位置的切换开关，用以选择冷却风扇的运行方式。强迫风冷时的容量不小于额定容量的140%，用于间隙性应急连续运行。</w:t>
      </w:r>
    </w:p>
    <w:p>
      <w:pPr>
        <w:pStyle w:val="4"/>
        <w:numPr>
          <w:ilvl w:val="0"/>
          <w:numId w:val="0"/>
        </w:numPr>
        <w:spacing w:line="360" w:lineRule="auto"/>
        <w:ind w:firstLine="422" w:firstLineChars="200"/>
        <w:rPr>
          <w:rFonts w:hint="eastAsia" w:ascii="宋体" w:hAnsi="宋体" w:cs="宋体"/>
          <w:bCs w:val="0"/>
          <w:color w:val="auto"/>
          <w:szCs w:val="21"/>
          <w:highlight w:val="none"/>
        </w:rPr>
      </w:pPr>
      <w:r>
        <w:rPr>
          <w:rFonts w:hint="eastAsia" w:ascii="宋体" w:hAnsi="宋体" w:cs="宋体"/>
          <w:b/>
          <w:bCs w:val="0"/>
          <w:color w:val="auto"/>
          <w:szCs w:val="21"/>
          <w:highlight w:val="none"/>
        </w:rPr>
        <w:t xml:space="preserve">1.23绕组温度指示器 </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1.23.1每台变压器应配备一套温度监控器和温度指示器，以显示绕组热点温度。温度指示器为直读式，安装于罩壳面板上；温度传感器采用3只PT100和3只PTC共同检测温度，温度传感器置于每相低压线圈中，分别测得三相绕组温度，温控器应具有下述功能：</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1.23.2可自动监测并显示三相绕组的温度。</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1.23.3当任一绕组温度达到设定温度时，如∶温度达到100℃时，自动启动风机；低于80℃时，自动停止风机；超过130℃时，自动报警，超过150℃时，发出跳闸指令。所有报警及跳闸信号、接点均应是无源干接点引接至温度控制箱，接点容量不小于DC220V，10A。</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1.23.4温度设定现场可调。风机启、停温度值、报警温度值、跳闸温度值可整定。</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1.23.5具有与微机监控系统的通信接口功能。4~20mA电流模拟量和RS485，MODBUS通讯接口。</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1.23.6温度控制器的电源为外供，220VAC，1700W。</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1.23.7提供复位按钮能显示最高温度并将其恢复正常操作。控制器上的LED指示灯应能显示变压器的正常状态，高温报警状态以及高温跳闸状态。</w:t>
      </w:r>
    </w:p>
    <w:p>
      <w:pPr>
        <w:pStyle w:val="3"/>
        <w:numPr>
          <w:ilvl w:val="1"/>
          <w:numId w:val="0"/>
        </w:numPr>
        <w:spacing w:line="360" w:lineRule="auto"/>
        <w:rPr>
          <w:rFonts w:hint="eastAsia" w:ascii="宋体" w:hAnsi="宋体" w:cs="宋体"/>
          <w:b/>
          <w:bCs w:val="0"/>
          <w:color w:val="auto"/>
          <w:szCs w:val="21"/>
          <w:highlight w:val="none"/>
        </w:rPr>
      </w:pPr>
      <w:bookmarkStart w:id="71" w:name="_Toc15422"/>
      <w:r>
        <w:rPr>
          <w:rFonts w:hint="eastAsia" w:ascii="宋体" w:hAnsi="宋体" w:cs="宋体"/>
          <w:b/>
          <w:bCs w:val="0"/>
          <w:color w:val="auto"/>
          <w:szCs w:val="21"/>
          <w:highlight w:val="none"/>
        </w:rPr>
        <w:t>1.24分接头装置</w:t>
      </w:r>
      <w:bookmarkEnd w:id="71"/>
    </w:p>
    <w:p>
      <w:pPr>
        <w:spacing w:line="360" w:lineRule="auto"/>
        <w:ind w:firstLine="420" w:firstLineChars="200"/>
        <w:outlineLvl w:val="2"/>
        <w:rPr>
          <w:rFonts w:hint="eastAsia" w:ascii="宋体" w:hAnsi="宋体" w:cs="宋体"/>
          <w:color w:val="auto"/>
          <w:szCs w:val="21"/>
          <w:highlight w:val="none"/>
        </w:rPr>
      </w:pPr>
      <w:r>
        <w:rPr>
          <w:rFonts w:hint="eastAsia" w:ascii="宋体" w:hAnsi="宋体" w:cs="宋体"/>
          <w:color w:val="auto"/>
          <w:szCs w:val="21"/>
          <w:highlight w:val="none"/>
        </w:rPr>
        <w:t>1.24.1变压器采用无载调压方式。变压器分接头的切换时通过改变外部分接头的位置。分接头应能承受在发生短路时的产生的冲击力。</w:t>
      </w:r>
    </w:p>
    <w:p>
      <w:pPr>
        <w:pStyle w:val="3"/>
        <w:numPr>
          <w:ilvl w:val="1"/>
          <w:numId w:val="0"/>
        </w:numPr>
        <w:spacing w:line="360" w:lineRule="auto"/>
        <w:rPr>
          <w:rFonts w:ascii="宋体" w:hAnsi="宋体" w:cs="宋体"/>
          <w:b/>
          <w:bCs w:val="0"/>
          <w:color w:val="auto"/>
          <w:szCs w:val="21"/>
          <w:highlight w:val="none"/>
        </w:rPr>
      </w:pPr>
      <w:bookmarkStart w:id="72" w:name="_Toc1623"/>
      <w:r>
        <w:rPr>
          <w:rFonts w:hint="eastAsia" w:ascii="宋体" w:hAnsi="宋体" w:cs="宋体"/>
          <w:b/>
          <w:bCs w:val="0"/>
          <w:color w:val="auto"/>
          <w:szCs w:val="21"/>
          <w:highlight w:val="none"/>
        </w:rPr>
        <w:t>1.25变压器端子</w:t>
      </w:r>
      <w:bookmarkEnd w:id="72"/>
    </w:p>
    <w:p>
      <w:pPr>
        <w:pStyle w:val="3"/>
        <w:numPr>
          <w:ilvl w:val="1"/>
          <w:numId w:val="0"/>
        </w:numPr>
        <w:spacing w:line="360" w:lineRule="auto"/>
        <w:ind w:firstLine="420" w:firstLineChars="200"/>
        <w:rPr>
          <w:rFonts w:hint="eastAsia" w:ascii="宋体" w:hAnsi="宋体" w:cs="宋体"/>
          <w:bCs w:val="0"/>
          <w:color w:val="auto"/>
          <w:szCs w:val="21"/>
          <w:highlight w:val="none"/>
        </w:rPr>
      </w:pPr>
      <w:bookmarkStart w:id="73" w:name="_Toc97879792"/>
      <w:bookmarkStart w:id="74" w:name="_Toc20145"/>
      <w:r>
        <w:rPr>
          <w:rFonts w:hint="eastAsia" w:ascii="宋体" w:hAnsi="宋体" w:cs="宋体"/>
          <w:bCs w:val="0"/>
          <w:color w:val="auto"/>
          <w:szCs w:val="21"/>
          <w:highlight w:val="none"/>
        </w:rPr>
        <w:t>1.25.1高低压端子应在变压器的两侧，并且应可连接垂直的10kV电缆；低压母排与低压柜直接拼接，低压柜母排伸入变压器罩壳内150mm。</w:t>
      </w:r>
      <w:bookmarkEnd w:id="73"/>
      <w:bookmarkEnd w:id="74"/>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1.25.2变压器的10kV端子应适合电缆的尺寸、数量及型号。</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1.25.3应提供10kV进线电缆及电缆格兰的接地点。</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1.25.4应提供变压器中性点接地点。</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1.25.5中性线端子排/母线，中性线接地母排的尺寸应满足动热稳定的要求。端子排应能承受最大的接地故障短路电流。</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1.25.6提供与变压器接线端子匹配的紧固件，供现场连接使用。</w:t>
      </w:r>
    </w:p>
    <w:p>
      <w:pPr>
        <w:pStyle w:val="3"/>
        <w:numPr>
          <w:ilvl w:val="1"/>
          <w:numId w:val="0"/>
        </w:numPr>
        <w:spacing w:line="360" w:lineRule="auto"/>
        <w:rPr>
          <w:rFonts w:hint="eastAsia" w:ascii="宋体" w:hAnsi="宋体" w:cs="宋体"/>
          <w:b/>
          <w:bCs w:val="0"/>
          <w:color w:val="auto"/>
          <w:szCs w:val="21"/>
          <w:highlight w:val="none"/>
        </w:rPr>
      </w:pPr>
      <w:bookmarkStart w:id="75" w:name="_Toc7263"/>
      <w:r>
        <w:rPr>
          <w:rFonts w:hint="eastAsia" w:ascii="宋体" w:hAnsi="宋体" w:cs="宋体"/>
          <w:b/>
          <w:bCs w:val="0"/>
          <w:color w:val="auto"/>
          <w:szCs w:val="21"/>
          <w:highlight w:val="none"/>
        </w:rPr>
        <w:t>1.26变压器安装</w:t>
      </w:r>
      <w:bookmarkEnd w:id="75"/>
    </w:p>
    <w:p>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1.26.1变压器自带安装底座，安装基础直接落地。基础可以按变压器出厂图中尺寸及重量信息在地面基础下预埋扁钢。变压器安装就位后可以与其电焊固定，防止运行时的振动。</w:t>
      </w:r>
    </w:p>
    <w:p>
      <w:pPr>
        <w:pStyle w:val="3"/>
        <w:numPr>
          <w:ilvl w:val="1"/>
          <w:numId w:val="0"/>
        </w:numPr>
        <w:spacing w:line="360" w:lineRule="auto"/>
        <w:rPr>
          <w:rFonts w:hint="eastAsia" w:ascii="宋体" w:hAnsi="宋体" w:cs="宋体"/>
          <w:b/>
          <w:bCs w:val="0"/>
          <w:color w:val="auto"/>
          <w:szCs w:val="21"/>
          <w:highlight w:val="none"/>
        </w:rPr>
      </w:pPr>
      <w:bookmarkStart w:id="76" w:name="_Toc12050"/>
      <w:r>
        <w:rPr>
          <w:rFonts w:hint="eastAsia" w:ascii="宋体" w:hAnsi="宋体" w:cs="宋体"/>
          <w:b/>
          <w:bCs w:val="0"/>
          <w:color w:val="auto"/>
          <w:szCs w:val="21"/>
          <w:highlight w:val="none"/>
        </w:rPr>
        <w:t>1.27接地</w:t>
      </w:r>
      <w:bookmarkEnd w:id="76"/>
    </w:p>
    <w:p>
      <w:pPr>
        <w:spacing w:line="360" w:lineRule="auto"/>
        <w:ind w:firstLine="420" w:firstLineChars="200"/>
        <w:outlineLvl w:val="2"/>
        <w:rPr>
          <w:rFonts w:hint="eastAsia" w:ascii="宋体" w:hAnsi="宋体" w:cs="宋体"/>
          <w:color w:val="auto"/>
          <w:szCs w:val="21"/>
          <w:highlight w:val="none"/>
        </w:rPr>
      </w:pPr>
      <w:r>
        <w:rPr>
          <w:rFonts w:hint="eastAsia" w:ascii="宋体" w:hAnsi="宋体" w:cs="宋体"/>
          <w:color w:val="auto"/>
          <w:szCs w:val="21"/>
          <w:highlight w:val="none"/>
        </w:rPr>
        <w:t>1.27.1变压器应带有足够尺寸的接地接口，用来与低压柜直接对接后连接主接地线。</w:t>
      </w:r>
    </w:p>
    <w:p>
      <w:pPr>
        <w:pStyle w:val="3"/>
        <w:numPr>
          <w:ilvl w:val="0"/>
          <w:numId w:val="0"/>
        </w:numPr>
        <w:spacing w:line="360" w:lineRule="auto"/>
        <w:rPr>
          <w:rFonts w:hint="eastAsia" w:ascii="宋体" w:hAnsi="宋体" w:cs="宋体"/>
          <w:b/>
          <w:bCs w:val="0"/>
          <w:color w:val="auto"/>
          <w:szCs w:val="21"/>
          <w:highlight w:val="none"/>
        </w:rPr>
      </w:pPr>
      <w:bookmarkStart w:id="77" w:name="_Toc29678"/>
      <w:r>
        <w:rPr>
          <w:rFonts w:hint="eastAsia" w:cs="宋体"/>
          <w:b/>
          <w:bCs w:val="0"/>
          <w:color w:val="auto"/>
          <w:szCs w:val="21"/>
          <w:highlight w:val="none"/>
        </w:rPr>
        <w:t>1.28</w:t>
      </w:r>
      <w:r>
        <w:rPr>
          <w:rFonts w:hint="eastAsia" w:ascii="宋体" w:hAnsi="宋体" w:cs="宋体"/>
          <w:b/>
          <w:bCs w:val="0"/>
          <w:color w:val="auto"/>
          <w:szCs w:val="21"/>
          <w:highlight w:val="none"/>
        </w:rPr>
        <w:t>端子标识</w:t>
      </w:r>
      <w:bookmarkEnd w:id="77"/>
    </w:p>
    <w:p>
      <w:pPr>
        <w:spacing w:line="360" w:lineRule="auto"/>
        <w:ind w:firstLine="420" w:firstLineChars="200"/>
        <w:outlineLvl w:val="2"/>
        <w:rPr>
          <w:rFonts w:hint="eastAsia" w:ascii="宋体" w:hAnsi="宋体" w:cs="宋体"/>
          <w:color w:val="auto"/>
          <w:szCs w:val="21"/>
          <w:highlight w:val="none"/>
        </w:rPr>
      </w:pPr>
      <w:r>
        <w:rPr>
          <w:rFonts w:hint="eastAsia" w:ascii="宋体" w:hAnsi="宋体" w:cs="宋体"/>
          <w:color w:val="auto"/>
          <w:szCs w:val="21"/>
          <w:highlight w:val="none"/>
        </w:rPr>
        <w:t xml:space="preserve">1.28.1根据GB1094.11的要求，应使用刻有或印有标识信息的耐用的耐腐蚀性材质，并牢固安装在外壳上。 </w:t>
      </w:r>
    </w:p>
    <w:p>
      <w:pPr>
        <w:pStyle w:val="3"/>
        <w:numPr>
          <w:ilvl w:val="1"/>
          <w:numId w:val="0"/>
        </w:numPr>
        <w:spacing w:line="360" w:lineRule="auto"/>
        <w:rPr>
          <w:rFonts w:hint="eastAsia" w:ascii="宋体" w:hAnsi="宋体" w:cs="宋体"/>
          <w:b/>
          <w:bCs w:val="0"/>
          <w:color w:val="auto"/>
          <w:szCs w:val="21"/>
          <w:highlight w:val="none"/>
        </w:rPr>
      </w:pPr>
      <w:bookmarkStart w:id="78" w:name="_Toc7660"/>
      <w:r>
        <w:rPr>
          <w:rFonts w:hint="eastAsia" w:ascii="宋体" w:hAnsi="宋体" w:cs="宋体"/>
          <w:b/>
          <w:bCs w:val="0"/>
          <w:color w:val="auto"/>
          <w:szCs w:val="21"/>
          <w:highlight w:val="none"/>
        </w:rPr>
        <w:t>1.29导体净距</w:t>
      </w:r>
      <w:bookmarkEnd w:id="78"/>
    </w:p>
    <w:p>
      <w:pPr>
        <w:spacing w:line="360" w:lineRule="auto"/>
        <w:ind w:firstLine="420" w:firstLineChars="200"/>
        <w:outlineLvl w:val="2"/>
        <w:rPr>
          <w:rFonts w:hint="eastAsia" w:ascii="宋体" w:hAnsi="宋体" w:cs="宋体"/>
          <w:color w:val="auto"/>
          <w:szCs w:val="21"/>
          <w:highlight w:val="none"/>
        </w:rPr>
      </w:pPr>
      <w:r>
        <w:rPr>
          <w:rFonts w:hint="eastAsia" w:ascii="宋体" w:hAnsi="宋体" w:cs="宋体"/>
          <w:color w:val="auto"/>
          <w:szCs w:val="21"/>
          <w:highlight w:val="none"/>
        </w:rPr>
        <w:t>1.29.1相对地，相间导体净距应满足GB1094.3规范的要求。电缆接线箱里面的导体净距也应满足GB要求。</w:t>
      </w:r>
    </w:p>
    <w:p>
      <w:pPr>
        <w:pStyle w:val="3"/>
        <w:numPr>
          <w:ilvl w:val="1"/>
          <w:numId w:val="0"/>
        </w:numPr>
        <w:spacing w:line="360" w:lineRule="auto"/>
        <w:rPr>
          <w:rFonts w:hint="eastAsia" w:ascii="宋体" w:hAnsi="宋体" w:cs="宋体"/>
          <w:b/>
          <w:bCs w:val="0"/>
          <w:color w:val="auto"/>
          <w:szCs w:val="21"/>
          <w:highlight w:val="none"/>
        </w:rPr>
      </w:pPr>
      <w:bookmarkStart w:id="79" w:name="_Toc10225"/>
      <w:r>
        <w:rPr>
          <w:rFonts w:hint="eastAsia" w:ascii="宋体" w:hAnsi="宋体" w:cs="宋体"/>
          <w:b/>
          <w:bCs w:val="0"/>
          <w:color w:val="auto"/>
          <w:szCs w:val="21"/>
          <w:highlight w:val="none"/>
        </w:rPr>
        <w:t>1.30铭牌及连接件</w:t>
      </w:r>
      <w:bookmarkEnd w:id="79"/>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1.30.1每个变压器都应具有完整额定铭牌信息。铭牌应根据GB1094.11规定的要求，以列表的形式体现变压器的参数信息。</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1.30.2铭牌及连接件要采用防腐蚀的材料（例如不锈钢）并牢固的安装在变压器外壳上。</w:t>
      </w:r>
    </w:p>
    <w:p>
      <w:pPr>
        <w:pStyle w:val="3"/>
        <w:numPr>
          <w:ilvl w:val="1"/>
          <w:numId w:val="0"/>
        </w:numPr>
        <w:spacing w:line="360" w:lineRule="auto"/>
        <w:rPr>
          <w:rFonts w:hint="eastAsia" w:ascii="宋体" w:hAnsi="宋体" w:cs="宋体"/>
          <w:b/>
          <w:bCs w:val="0"/>
          <w:color w:val="auto"/>
          <w:szCs w:val="21"/>
          <w:highlight w:val="none"/>
        </w:rPr>
      </w:pPr>
      <w:bookmarkStart w:id="80" w:name="_Toc23767"/>
      <w:r>
        <w:rPr>
          <w:rFonts w:hint="eastAsia" w:ascii="宋体" w:hAnsi="宋体" w:cs="宋体"/>
          <w:b/>
          <w:bCs w:val="0"/>
          <w:color w:val="auto"/>
          <w:szCs w:val="21"/>
          <w:highlight w:val="none"/>
        </w:rPr>
        <w:t>1.31内部接地</w:t>
      </w:r>
      <w:bookmarkEnd w:id="80"/>
    </w:p>
    <w:p>
      <w:pPr>
        <w:pStyle w:val="4"/>
        <w:numPr>
          <w:ilvl w:val="2"/>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1.31.1除了个别的铁芯片，螺栓和一些辅助的夹板、变压器的所有金属元器件都应是等电位的。</w:t>
      </w:r>
    </w:p>
    <w:p>
      <w:pPr>
        <w:pStyle w:val="4"/>
        <w:numPr>
          <w:ilvl w:val="2"/>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1.31.2接地方式以及接地板的尺寸应符合GB50169的要求。</w:t>
      </w:r>
    </w:p>
    <w:p>
      <w:pPr>
        <w:pStyle w:val="3"/>
        <w:numPr>
          <w:ilvl w:val="1"/>
          <w:numId w:val="0"/>
        </w:numPr>
        <w:spacing w:line="360" w:lineRule="auto"/>
        <w:rPr>
          <w:rFonts w:hint="eastAsia" w:ascii="宋体" w:hAnsi="宋体" w:cs="宋体"/>
          <w:b/>
          <w:bCs w:val="0"/>
          <w:color w:val="auto"/>
          <w:szCs w:val="21"/>
          <w:highlight w:val="none"/>
        </w:rPr>
      </w:pPr>
      <w:bookmarkStart w:id="81" w:name="_Toc17523"/>
      <w:r>
        <w:rPr>
          <w:rFonts w:hint="eastAsia" w:ascii="宋体" w:hAnsi="宋体" w:cs="宋体"/>
          <w:b/>
          <w:bCs w:val="0"/>
          <w:color w:val="auto"/>
          <w:szCs w:val="21"/>
          <w:highlight w:val="none"/>
        </w:rPr>
        <w:t>1.32磁路的接地</w:t>
      </w:r>
      <w:bookmarkEnd w:id="81"/>
    </w:p>
    <w:p>
      <w:pPr>
        <w:pStyle w:val="4"/>
        <w:numPr>
          <w:ilvl w:val="2"/>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1.32.1变压器的磁路应通过一点与压条结构连接接地，该点方便测量铁芯对压紧结构的绝缘。</w:t>
      </w:r>
    </w:p>
    <w:p>
      <w:pPr>
        <w:pStyle w:val="3"/>
        <w:numPr>
          <w:ilvl w:val="1"/>
          <w:numId w:val="0"/>
        </w:numPr>
        <w:spacing w:line="360" w:lineRule="auto"/>
        <w:rPr>
          <w:rFonts w:hint="eastAsia" w:ascii="宋体" w:hAnsi="宋体" w:cs="宋体"/>
          <w:b/>
          <w:bCs w:val="0"/>
          <w:color w:val="auto"/>
          <w:szCs w:val="21"/>
          <w:highlight w:val="none"/>
        </w:rPr>
      </w:pPr>
      <w:bookmarkStart w:id="82" w:name="_Toc15655"/>
      <w:r>
        <w:rPr>
          <w:rFonts w:hint="eastAsia" w:ascii="宋体" w:hAnsi="宋体" w:cs="宋体"/>
          <w:b/>
          <w:bCs w:val="0"/>
          <w:color w:val="auto"/>
          <w:szCs w:val="21"/>
          <w:highlight w:val="none"/>
        </w:rPr>
        <w:t>1.33铁芯接地压紧结构和环路</w:t>
      </w:r>
      <w:bookmarkEnd w:id="82"/>
    </w:p>
    <w:p>
      <w:pPr>
        <w:pStyle w:val="4"/>
        <w:numPr>
          <w:ilvl w:val="2"/>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1.33.1铁芯的压紧结构应当与外壳用铜编织带连接，如果结构上的部件不是金属性连接，要采用跨线连接。当采用金属铁芯环，应与同侧的铁芯夹紧装置连接，并与主接地网连接。</w:t>
      </w:r>
    </w:p>
    <w:p>
      <w:pPr>
        <w:pStyle w:val="3"/>
        <w:numPr>
          <w:ilvl w:val="1"/>
          <w:numId w:val="0"/>
        </w:numPr>
        <w:spacing w:line="360" w:lineRule="auto"/>
        <w:rPr>
          <w:rFonts w:hint="eastAsia" w:ascii="宋体" w:hAnsi="宋体" w:cs="宋体"/>
          <w:b/>
          <w:bCs w:val="0"/>
          <w:color w:val="auto"/>
          <w:szCs w:val="21"/>
          <w:highlight w:val="none"/>
        </w:rPr>
      </w:pPr>
      <w:bookmarkStart w:id="83" w:name="_Toc21695"/>
      <w:r>
        <w:rPr>
          <w:rFonts w:hint="eastAsia" w:ascii="宋体" w:hAnsi="宋体" w:cs="宋体"/>
          <w:b/>
          <w:bCs w:val="0"/>
          <w:color w:val="auto"/>
          <w:szCs w:val="21"/>
          <w:highlight w:val="none"/>
        </w:rPr>
        <w:t>1.34型式及出厂（例行）试验</w:t>
      </w:r>
      <w:bookmarkEnd w:id="83"/>
    </w:p>
    <w:p>
      <w:pPr>
        <w:spacing w:line="360" w:lineRule="auto"/>
        <w:ind w:firstLine="420" w:firstLineChars="200"/>
        <w:outlineLvl w:val="2"/>
        <w:rPr>
          <w:rFonts w:hint="eastAsia" w:ascii="宋体" w:hAnsi="宋体" w:cs="宋体"/>
          <w:color w:val="auto"/>
          <w:szCs w:val="21"/>
          <w:highlight w:val="none"/>
        </w:rPr>
      </w:pPr>
      <w:r>
        <w:rPr>
          <w:rFonts w:hint="eastAsia" w:ascii="宋体" w:hAnsi="宋体" w:cs="宋体"/>
          <w:color w:val="auto"/>
          <w:szCs w:val="21"/>
          <w:highlight w:val="none"/>
        </w:rPr>
        <w:t>1.34.1出厂（例行）试验项目：</w:t>
      </w:r>
    </w:p>
    <w:p>
      <w:pPr>
        <w:numPr>
          <w:ilvl w:val="0"/>
          <w:numId w:val="16"/>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外观检查</w:t>
      </w:r>
    </w:p>
    <w:p>
      <w:pPr>
        <w:numPr>
          <w:ilvl w:val="0"/>
          <w:numId w:val="16"/>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绕组直流电阻测量</w:t>
      </w:r>
    </w:p>
    <w:p>
      <w:pPr>
        <w:numPr>
          <w:ilvl w:val="0"/>
          <w:numId w:val="16"/>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绝缘电阻测量</w:t>
      </w:r>
    </w:p>
    <w:p>
      <w:pPr>
        <w:numPr>
          <w:ilvl w:val="0"/>
          <w:numId w:val="16"/>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变压比和电压失量关系测定</w:t>
      </w:r>
    </w:p>
    <w:p>
      <w:pPr>
        <w:numPr>
          <w:ilvl w:val="0"/>
          <w:numId w:val="16"/>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额定短时工频耐受电压（有效值）</w:t>
      </w:r>
    </w:p>
    <w:p>
      <w:pPr>
        <w:numPr>
          <w:ilvl w:val="0"/>
          <w:numId w:val="16"/>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空载试验(包括空载损耗与空载电流)</w:t>
      </w:r>
    </w:p>
    <w:p>
      <w:pPr>
        <w:numPr>
          <w:ilvl w:val="0"/>
          <w:numId w:val="16"/>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负载试验(包括负载损耗与短路阻抗)</w:t>
      </w:r>
    </w:p>
    <w:p>
      <w:pPr>
        <w:numPr>
          <w:ilvl w:val="0"/>
          <w:numId w:val="16"/>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感应耐压试验</w:t>
      </w:r>
    </w:p>
    <w:p>
      <w:pPr>
        <w:numPr>
          <w:ilvl w:val="0"/>
          <w:numId w:val="16"/>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局部放电量测量</w:t>
      </w:r>
    </w:p>
    <w:p>
      <w:pPr>
        <w:spacing w:line="360" w:lineRule="auto"/>
        <w:ind w:firstLine="420" w:firstLineChars="200"/>
        <w:outlineLvl w:val="2"/>
        <w:rPr>
          <w:rFonts w:hint="eastAsia" w:ascii="宋体" w:hAnsi="宋体" w:cs="宋体"/>
          <w:color w:val="auto"/>
          <w:szCs w:val="21"/>
          <w:highlight w:val="none"/>
        </w:rPr>
      </w:pPr>
      <w:r>
        <w:rPr>
          <w:rFonts w:hint="eastAsia" w:ascii="宋体" w:hAnsi="宋体" w:cs="宋体"/>
          <w:color w:val="auto"/>
          <w:szCs w:val="21"/>
          <w:highlight w:val="none"/>
        </w:rPr>
        <w:t>1.34.2型式试验：</w:t>
      </w:r>
    </w:p>
    <w:p>
      <w:pPr>
        <w:numPr>
          <w:ilvl w:val="0"/>
          <w:numId w:val="17"/>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温升试验</w:t>
      </w:r>
    </w:p>
    <w:p>
      <w:pPr>
        <w:numPr>
          <w:ilvl w:val="0"/>
          <w:numId w:val="17"/>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额定雷电冲击耐受电压（峰值）</w:t>
      </w:r>
    </w:p>
    <w:p>
      <w:pPr>
        <w:numPr>
          <w:ilvl w:val="0"/>
          <w:numId w:val="17"/>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噪音试验</w:t>
      </w:r>
    </w:p>
    <w:p>
      <w:pPr>
        <w:spacing w:line="360" w:lineRule="auto"/>
        <w:ind w:firstLine="420" w:firstLineChars="200"/>
        <w:outlineLvl w:val="2"/>
        <w:rPr>
          <w:rFonts w:hint="eastAsia" w:ascii="宋体" w:hAnsi="宋体" w:cs="宋体"/>
          <w:color w:val="auto"/>
          <w:szCs w:val="21"/>
          <w:highlight w:val="none"/>
        </w:rPr>
      </w:pPr>
      <w:r>
        <w:rPr>
          <w:rFonts w:hint="eastAsia" w:ascii="宋体" w:hAnsi="宋体" w:cs="宋体"/>
          <w:color w:val="auto"/>
          <w:szCs w:val="21"/>
          <w:highlight w:val="none"/>
        </w:rPr>
        <w:t>1.34.3特殊试验：</w:t>
      </w:r>
    </w:p>
    <w:p>
      <w:pPr>
        <w:numPr>
          <w:ilvl w:val="0"/>
          <w:numId w:val="18"/>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短路试验</w:t>
      </w:r>
    </w:p>
    <w:p>
      <w:pPr>
        <w:numPr>
          <w:ilvl w:val="0"/>
          <w:numId w:val="18"/>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环境等级E2</w:t>
      </w:r>
    </w:p>
    <w:p>
      <w:pPr>
        <w:numPr>
          <w:ilvl w:val="0"/>
          <w:numId w:val="18"/>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气候等级C2</w:t>
      </w:r>
    </w:p>
    <w:p>
      <w:pPr>
        <w:numPr>
          <w:ilvl w:val="0"/>
          <w:numId w:val="18"/>
        </w:numPr>
        <w:tabs>
          <w:tab w:val="left" w:pos="420"/>
        </w:tabs>
        <w:spacing w:line="360" w:lineRule="auto"/>
        <w:ind w:left="851" w:hanging="431"/>
        <w:rPr>
          <w:rFonts w:hint="eastAsia" w:ascii="宋体" w:hAnsi="宋体" w:cs="宋体"/>
          <w:color w:val="auto"/>
          <w:szCs w:val="21"/>
          <w:highlight w:val="none"/>
        </w:rPr>
      </w:pPr>
      <w:r>
        <w:rPr>
          <w:rFonts w:hint="eastAsia" w:ascii="宋体" w:hAnsi="宋体" w:cs="宋体"/>
          <w:color w:val="auto"/>
          <w:szCs w:val="21"/>
          <w:highlight w:val="none"/>
        </w:rPr>
        <w:t>防火等级F1</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1.34.4根据合同提供相似型号变压器的型式试验和特殊试验证书，并且提供每台变压器的两张出厂（例行）试验证书复印件，给监管人员存档。</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1.34.5变压器的出厂（例行）试验应符合GB1094.11的要求</w:t>
      </w:r>
    </w:p>
    <w:p>
      <w:pPr>
        <w:pStyle w:val="3"/>
        <w:numPr>
          <w:ilvl w:val="1"/>
          <w:numId w:val="0"/>
        </w:numPr>
        <w:spacing w:line="360" w:lineRule="auto"/>
        <w:rPr>
          <w:rFonts w:hint="eastAsia" w:ascii="宋体" w:hAnsi="宋体" w:cs="宋体"/>
          <w:b/>
          <w:bCs w:val="0"/>
          <w:color w:val="auto"/>
          <w:szCs w:val="21"/>
          <w:highlight w:val="none"/>
        </w:rPr>
      </w:pPr>
      <w:bookmarkStart w:id="84" w:name="_Toc1370"/>
      <w:r>
        <w:rPr>
          <w:rFonts w:hint="eastAsia" w:ascii="宋体" w:hAnsi="宋体" w:cs="宋体"/>
          <w:b/>
          <w:bCs w:val="0"/>
          <w:color w:val="auto"/>
          <w:szCs w:val="21"/>
          <w:highlight w:val="none"/>
        </w:rPr>
        <w:t>1.35电源</w:t>
      </w:r>
      <w:bookmarkEnd w:id="84"/>
    </w:p>
    <w:p>
      <w:pPr>
        <w:spacing w:line="360" w:lineRule="auto"/>
        <w:ind w:firstLine="420" w:firstLineChars="200"/>
        <w:outlineLvl w:val="2"/>
        <w:rPr>
          <w:rFonts w:hint="eastAsia" w:ascii="宋体" w:hAnsi="宋体" w:cs="宋体"/>
          <w:color w:val="auto"/>
          <w:szCs w:val="21"/>
          <w:highlight w:val="none"/>
        </w:rPr>
      </w:pPr>
      <w:r>
        <w:rPr>
          <w:rFonts w:hint="eastAsia" w:ascii="宋体" w:hAnsi="宋体" w:cs="宋体"/>
          <w:color w:val="auto"/>
          <w:szCs w:val="21"/>
          <w:highlight w:val="none"/>
        </w:rPr>
        <w:t>1.35.1变压器的安装、试验及调试的电源应由相关MEP承包商单位提供。</w:t>
      </w:r>
    </w:p>
    <w:p>
      <w:pPr>
        <w:pStyle w:val="3"/>
        <w:numPr>
          <w:ilvl w:val="0"/>
          <w:numId w:val="0"/>
        </w:numPr>
        <w:spacing w:line="360" w:lineRule="auto"/>
        <w:rPr>
          <w:rFonts w:hint="eastAsia" w:ascii="宋体" w:hAnsi="宋体" w:cs="宋体"/>
          <w:color w:val="auto"/>
          <w:szCs w:val="21"/>
          <w:highlight w:val="none"/>
        </w:rPr>
      </w:pPr>
      <w:bookmarkStart w:id="85" w:name="_Toc4817"/>
      <w:r>
        <w:rPr>
          <w:rFonts w:hint="eastAsia" w:cs="宋体"/>
          <w:b/>
          <w:bCs w:val="0"/>
          <w:color w:val="auto"/>
          <w:szCs w:val="21"/>
          <w:highlight w:val="none"/>
        </w:rPr>
        <w:t>1.36</w:t>
      </w:r>
      <w:r>
        <w:rPr>
          <w:rFonts w:hint="eastAsia" w:ascii="宋体" w:hAnsi="宋体" w:cs="宋体"/>
          <w:b/>
          <w:bCs w:val="0"/>
          <w:color w:val="auto"/>
          <w:szCs w:val="21"/>
          <w:highlight w:val="none"/>
        </w:rPr>
        <w:t>现场试验</w:t>
      </w:r>
      <w:bookmarkEnd w:id="85"/>
      <w:r>
        <w:rPr>
          <w:rFonts w:hint="eastAsia" w:ascii="宋体" w:hAnsi="宋体" w:cs="宋体"/>
          <w:color w:val="auto"/>
          <w:szCs w:val="21"/>
          <w:highlight w:val="none"/>
        </w:rPr>
        <w:t xml:space="preserve"> </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1.36.1变压器绕组应做耐压、绝缘电阻及变比试验。这个试验应由一位被授权的注册电工来完成。变压器调试后，两周内应提交试验报告给监管人员存档。</w:t>
      </w:r>
    </w:p>
    <w:p>
      <w:pPr>
        <w:pStyle w:val="4"/>
        <w:numPr>
          <w:ilvl w:val="0"/>
          <w:numId w:val="0"/>
        </w:numPr>
        <w:spacing w:line="360" w:lineRule="auto"/>
        <w:ind w:firstLine="420" w:firstLineChars="200"/>
        <w:rPr>
          <w:rFonts w:hint="eastAsia" w:ascii="宋体" w:hAnsi="宋体" w:cs="宋体"/>
          <w:bCs w:val="0"/>
          <w:color w:val="auto"/>
          <w:szCs w:val="21"/>
          <w:highlight w:val="none"/>
        </w:rPr>
      </w:pPr>
      <w:r>
        <w:rPr>
          <w:rFonts w:hint="eastAsia" w:ascii="宋体" w:hAnsi="宋体" w:cs="宋体"/>
          <w:bCs w:val="0"/>
          <w:color w:val="auto"/>
          <w:szCs w:val="21"/>
          <w:highlight w:val="none"/>
        </w:rPr>
        <w:t>1.36.2现场试验应符合GB50150的要求。</w:t>
      </w:r>
    </w:p>
    <w:p>
      <w:pPr>
        <w:autoSpaceDE w:val="0"/>
        <w:autoSpaceDN w:val="0"/>
        <w:adjustRightInd w:val="0"/>
        <w:spacing w:line="360" w:lineRule="auto"/>
        <w:jc w:val="center"/>
        <w:outlineLvl w:val="0"/>
        <w:rPr>
          <w:rFonts w:hint="eastAsia" w:ascii="宋体" w:hAnsi="宋体" w:cs="宋体"/>
          <w:b/>
          <w:bCs/>
          <w:color w:val="auto"/>
          <w:szCs w:val="21"/>
          <w:highlight w:val="none"/>
          <w:lang w:val="zh-CN"/>
        </w:rPr>
      </w:pPr>
      <w:r>
        <w:rPr>
          <w:rFonts w:ascii="宋体" w:hAnsi="宋体" w:cs="宋体"/>
          <w:b/>
          <w:snapToGrid w:val="0"/>
          <w:color w:val="auto"/>
          <w:spacing w:val="1"/>
          <w:w w:val="99"/>
          <w:kern w:val="0"/>
          <w:szCs w:val="21"/>
          <w:highlight w:val="none"/>
        </w:rPr>
        <w:br w:type="page"/>
      </w:r>
      <w:bookmarkStart w:id="86" w:name="_Toc15427"/>
      <w:r>
        <w:rPr>
          <w:rFonts w:hint="eastAsia" w:ascii="宋体" w:hAnsi="宋体" w:cs="宋体"/>
          <w:b/>
          <w:snapToGrid w:val="0"/>
          <w:color w:val="auto"/>
          <w:spacing w:val="1"/>
          <w:w w:val="99"/>
          <w:kern w:val="0"/>
          <w:szCs w:val="21"/>
          <w:highlight w:val="none"/>
        </w:rPr>
        <w:t>三、</w:t>
      </w:r>
      <w:r>
        <w:rPr>
          <w:rFonts w:hint="eastAsia" w:ascii="宋体" w:hAnsi="宋体" w:cs="宋体"/>
          <w:b/>
          <w:snapToGrid w:val="0"/>
          <w:color w:val="auto"/>
          <w:spacing w:val="1"/>
          <w:w w:val="99"/>
          <w:kern w:val="0"/>
          <w:szCs w:val="21"/>
          <w:highlight w:val="none"/>
          <w:lang w:val="zh-CN"/>
        </w:rPr>
        <w:t>10kV变电站继电保护技术规范书</w:t>
      </w:r>
      <w:bookmarkEnd w:id="86"/>
    </w:p>
    <w:p>
      <w:pPr>
        <w:autoSpaceDE w:val="0"/>
        <w:autoSpaceDN w:val="0"/>
        <w:adjustRightInd w:val="0"/>
        <w:spacing w:line="360" w:lineRule="auto"/>
        <w:jc w:val="center"/>
        <w:rPr>
          <w:rFonts w:hint="eastAsia" w:ascii="宋体" w:hAnsi="宋体" w:cs="宋体"/>
          <w:b/>
          <w:bCs/>
          <w:color w:val="auto"/>
          <w:szCs w:val="21"/>
          <w:highlight w:val="none"/>
          <w:lang w:val="zh-CN"/>
        </w:rPr>
      </w:pPr>
    </w:p>
    <w:p>
      <w:pPr>
        <w:pStyle w:val="2"/>
        <w:keepNext w:val="0"/>
        <w:keepLines w:val="0"/>
        <w:spacing w:line="360" w:lineRule="auto"/>
        <w:ind w:firstLine="0"/>
        <w:textAlignment w:val="auto"/>
        <w:rPr>
          <w:rFonts w:hint="eastAsia" w:ascii="宋体" w:hAnsi="宋体" w:eastAsia="宋体" w:cs="宋体"/>
          <w:b/>
          <w:color w:val="auto"/>
          <w:kern w:val="2"/>
          <w:sz w:val="21"/>
          <w:szCs w:val="21"/>
          <w:highlight w:val="none"/>
        </w:rPr>
      </w:pPr>
      <w:bookmarkStart w:id="87" w:name="_Toc31575"/>
      <w:r>
        <w:rPr>
          <w:rFonts w:hint="eastAsia" w:ascii="宋体" w:hAnsi="宋体" w:eastAsia="宋体" w:cs="宋体"/>
          <w:b/>
          <w:color w:val="auto"/>
          <w:kern w:val="2"/>
          <w:sz w:val="21"/>
          <w:szCs w:val="21"/>
          <w:highlight w:val="none"/>
        </w:rPr>
        <w:t>1.1总则</w:t>
      </w:r>
      <w:bookmarkEnd w:id="87"/>
    </w:p>
    <w:p>
      <w:pPr>
        <w:pStyle w:val="22"/>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 xml:space="preserve">1.1.1引言 </w:t>
      </w:r>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微机综合保护测控装置的保护功能应使发生故障的一次设备尽快从供电系统中退出运行，以最大限度的减少对一次设备的损坏，降低对供电系统安全供电的影响；控制、监控功能应适合现场运行人员就地监控及操作，并可实现变电所无人值班，适应全所自动化及电力监控的需要；测量功能应具有测量值当地显示及远方传送功能，能显示正常及故障状态测量值；通讯功能用于远方随时监测装置的运行状态、调用数据、改变定值及远方操作等。微机综合保护测控装置的自动投入功能由可编程软、硬件实现，并可满足系统各种运行方式的需要。</w:t>
      </w:r>
    </w:p>
    <w:p>
      <w:pPr>
        <w:pStyle w:val="22"/>
        <w:spacing w:line="360" w:lineRule="auto"/>
        <w:ind w:firstLine="420" w:firstLineChars="200"/>
        <w:rPr>
          <w:rFonts w:hint="eastAsia" w:ascii="宋体" w:hAnsi="宋体" w:eastAsia="宋体" w:cs="宋体"/>
          <w:color w:val="auto"/>
          <w:highlight w:val="none"/>
        </w:rPr>
      </w:pPr>
      <w:bookmarkStart w:id="88" w:name="_Toc251427264"/>
      <w:bookmarkStart w:id="89" w:name="_Toc256459643"/>
      <w:r>
        <w:rPr>
          <w:rFonts w:hint="eastAsia" w:ascii="宋体" w:hAnsi="宋体" w:eastAsia="宋体" w:cs="宋体"/>
          <w:color w:val="auto"/>
          <w:highlight w:val="none"/>
        </w:rPr>
        <w:t>1.1.2供方职责</w:t>
      </w:r>
      <w:bookmarkEnd w:id="88"/>
      <w:bookmarkEnd w:id="89"/>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供方的工作范围将包括但不限于下列内容。</w:t>
      </w:r>
    </w:p>
    <w:p>
      <w:pPr>
        <w:overflowPunct w:val="0"/>
        <w:topLinePunct/>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1.1.2.1提供标书内所有设备及设计说明书及制造方面的说明。</w:t>
      </w:r>
    </w:p>
    <w:p>
      <w:pPr>
        <w:overflowPunct w:val="0"/>
        <w:topLinePunct/>
        <w:snapToGrid w:val="0"/>
        <w:spacing w:line="360" w:lineRule="auto"/>
        <w:ind w:firstLine="420" w:firstLineChars="200"/>
        <w:rPr>
          <w:rFonts w:hint="eastAsia" w:ascii="宋体" w:hAnsi="宋体" w:cs="宋体"/>
          <w:color w:val="auto"/>
          <w:spacing w:val="-6"/>
          <w:szCs w:val="21"/>
          <w:highlight w:val="none"/>
        </w:rPr>
      </w:pPr>
      <w:r>
        <w:rPr>
          <w:rFonts w:hint="eastAsia" w:ascii="宋体" w:hAnsi="宋体" w:cs="宋体"/>
          <w:color w:val="auto"/>
          <w:szCs w:val="21"/>
          <w:highlight w:val="none"/>
        </w:rPr>
        <w:t>1.1.2.2</w:t>
      </w:r>
      <w:r>
        <w:rPr>
          <w:rFonts w:hint="eastAsia" w:ascii="宋体" w:hAnsi="宋体" w:cs="宋体"/>
          <w:color w:val="auto"/>
          <w:spacing w:val="-6"/>
          <w:szCs w:val="21"/>
          <w:highlight w:val="none"/>
        </w:rPr>
        <w:t>提供国家或电力工业检验检测机构出具的型式试验报告，以便确认供货设备能否满足所有的性能要求。</w:t>
      </w:r>
    </w:p>
    <w:p>
      <w:pPr>
        <w:overflowPunct w:val="0"/>
        <w:topLinePunct/>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1.1.2.3供设备安装、使用的说明书。</w:t>
      </w:r>
    </w:p>
    <w:p>
      <w:pPr>
        <w:overflowPunct w:val="0"/>
        <w:topLinePunct/>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1.1.2.4供试验和检验的标准，包括试验报告和试验数据。</w:t>
      </w:r>
    </w:p>
    <w:p>
      <w:pPr>
        <w:overflowPunct w:val="0"/>
        <w:topLinePunct/>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1.1.2.5提供图纸，制造和质量保证过程的一览表以及标书规定的其他资料。</w:t>
      </w:r>
    </w:p>
    <w:p>
      <w:pPr>
        <w:overflowPunct w:val="0"/>
        <w:topLinePunct/>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1.1.2.6提供设备管理和运行所需有关资料。</w:t>
      </w:r>
    </w:p>
    <w:p>
      <w:pPr>
        <w:overflowPunct w:val="0"/>
        <w:topLinePunct/>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1.1.2.7所提供设备应发运到规定的目的地。</w:t>
      </w:r>
    </w:p>
    <w:p>
      <w:pPr>
        <w:overflowPunct w:val="0"/>
        <w:topLinePunct/>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1.1.2.8如标准、规范与本规范书的条文有明显的冲突，则供方应在制造设备前，用书面形式将冲突和解决办法告知需方，并经需方确认后，才能进行设备制造。</w:t>
      </w:r>
    </w:p>
    <w:p>
      <w:pPr>
        <w:overflowPunct w:val="0"/>
        <w:topLinePunct/>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1.1.2.9现场服务。</w:t>
      </w:r>
    </w:p>
    <w:p>
      <w:pPr>
        <w:pStyle w:val="2"/>
        <w:keepNext w:val="0"/>
        <w:keepLines w:val="0"/>
        <w:spacing w:line="360" w:lineRule="auto"/>
        <w:ind w:firstLine="0"/>
        <w:textAlignment w:val="auto"/>
        <w:rPr>
          <w:rFonts w:hint="eastAsia" w:ascii="宋体" w:hAnsi="宋体" w:eastAsia="宋体" w:cs="宋体"/>
          <w:b/>
          <w:color w:val="auto"/>
          <w:kern w:val="2"/>
          <w:highlight w:val="none"/>
        </w:rPr>
      </w:pPr>
      <w:bookmarkStart w:id="90" w:name="_Toc14606"/>
      <w:r>
        <w:rPr>
          <w:rFonts w:hint="eastAsia" w:ascii="宋体" w:hAnsi="宋体" w:eastAsia="宋体" w:cs="宋体"/>
          <w:b/>
          <w:color w:val="auto"/>
          <w:kern w:val="2"/>
          <w:highlight w:val="none"/>
        </w:rPr>
        <w:t>1.2主要技术指标</w:t>
      </w:r>
      <w:bookmarkEnd w:id="90"/>
    </w:p>
    <w:p>
      <w:pPr>
        <w:pStyle w:val="22"/>
        <w:spacing w:line="360" w:lineRule="auto"/>
        <w:ind w:firstLine="420" w:firstLineChars="200"/>
        <w:rPr>
          <w:rFonts w:hint="eastAsia" w:ascii="宋体" w:hAnsi="宋体" w:eastAsia="宋体" w:cs="宋体"/>
          <w:color w:val="auto"/>
          <w:highlight w:val="none"/>
        </w:rPr>
      </w:pPr>
      <w:bookmarkStart w:id="91" w:name="_Toc251427266"/>
      <w:bookmarkStart w:id="92" w:name="_Toc256459645"/>
      <w:r>
        <w:rPr>
          <w:rFonts w:hint="eastAsia" w:ascii="宋体" w:hAnsi="宋体" w:eastAsia="宋体" w:cs="宋体"/>
          <w:color w:val="auto"/>
          <w:highlight w:val="none"/>
        </w:rPr>
        <w:t>1.2.1额定值：</w:t>
      </w:r>
    </w:p>
    <w:p>
      <w:pPr>
        <w:numPr>
          <w:ilvl w:val="0"/>
          <w:numId w:val="19"/>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交流电流：5A</w:t>
      </w:r>
    </w:p>
    <w:p>
      <w:pPr>
        <w:numPr>
          <w:ilvl w:val="0"/>
          <w:numId w:val="19"/>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交流电压：</w:t>
      </w:r>
      <w:r>
        <w:rPr>
          <w:rFonts w:ascii="宋体" w:hAnsi="宋体" w:cs="宋体"/>
          <w:bCs/>
          <w:color w:val="auto"/>
          <w:szCs w:val="21"/>
          <w:highlight w:val="none"/>
        </w:rPr>
        <w:t>10</w:t>
      </w:r>
      <w:r>
        <w:rPr>
          <w:rFonts w:hint="eastAsia" w:ascii="宋体" w:hAnsi="宋体" w:cs="宋体"/>
          <w:bCs/>
          <w:color w:val="auto"/>
          <w:szCs w:val="21"/>
          <w:highlight w:val="none"/>
        </w:rPr>
        <w:t>0V</w:t>
      </w:r>
    </w:p>
    <w:p>
      <w:pPr>
        <w:numPr>
          <w:ilvl w:val="0"/>
          <w:numId w:val="19"/>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频率：50Hz±0.5Hz</w:t>
      </w:r>
    </w:p>
    <w:p>
      <w:pPr>
        <w:numPr>
          <w:ilvl w:val="0"/>
          <w:numId w:val="19"/>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额定电源电压：220V，允许偏差−20%~+10%纹波系数不大于5%</w:t>
      </w:r>
    </w:p>
    <w:p>
      <w:pPr>
        <w:pStyle w:val="22"/>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1.2.2功耗：</w:t>
      </w:r>
    </w:p>
    <w:p>
      <w:pPr>
        <w:numPr>
          <w:ilvl w:val="0"/>
          <w:numId w:val="20"/>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交流电流回路：In=5A时，每相不大于2.5VA</w:t>
      </w:r>
    </w:p>
    <w:p>
      <w:pPr>
        <w:numPr>
          <w:ilvl w:val="0"/>
          <w:numId w:val="20"/>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交流电压回路：额定电压时，每相不大于1VA</w:t>
      </w:r>
    </w:p>
    <w:p>
      <w:pPr>
        <w:numPr>
          <w:ilvl w:val="0"/>
          <w:numId w:val="20"/>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直流电源回路：正常工作时，不大于50W</w:t>
      </w:r>
    </w:p>
    <w:p>
      <w:pPr>
        <w:numPr>
          <w:ilvl w:val="0"/>
          <w:numId w:val="20"/>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保护动作时，不大于80W</w:t>
      </w:r>
    </w:p>
    <w:p>
      <w:pPr>
        <w:pStyle w:val="22"/>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1.2.3 过载能力：</w:t>
      </w:r>
    </w:p>
    <w:p>
      <w:pPr>
        <w:numPr>
          <w:ilvl w:val="0"/>
          <w:numId w:val="21"/>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交流电流回路：4 倍额定电流，连续工作</w:t>
      </w:r>
    </w:p>
    <w:p>
      <w:pPr>
        <w:numPr>
          <w:ilvl w:val="0"/>
          <w:numId w:val="21"/>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100 倍额定电流，持续1秒</w:t>
      </w:r>
    </w:p>
    <w:p>
      <w:pPr>
        <w:numPr>
          <w:ilvl w:val="0"/>
          <w:numId w:val="21"/>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交流电压回路：1.1倍额定电压，连续工作</w:t>
      </w:r>
    </w:p>
    <w:p>
      <w:pPr>
        <w:numPr>
          <w:ilvl w:val="0"/>
          <w:numId w:val="21"/>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直流电源回路：80%∼110%额定电压，连续工作</w:t>
      </w:r>
    </w:p>
    <w:bookmarkEnd w:id="91"/>
    <w:bookmarkEnd w:id="92"/>
    <w:p>
      <w:pPr>
        <w:pStyle w:val="22"/>
        <w:spacing w:line="360" w:lineRule="auto"/>
        <w:ind w:firstLine="420" w:firstLineChars="200"/>
        <w:rPr>
          <w:rFonts w:ascii="宋体" w:hAnsi="宋体" w:eastAsia="宋体" w:cs="宋体"/>
          <w:color w:val="auto"/>
          <w:highlight w:val="none"/>
        </w:rPr>
      </w:pPr>
      <w:bookmarkStart w:id="93" w:name="_Toc256459648"/>
      <w:bookmarkStart w:id="94" w:name="_Toc251427268"/>
      <w:r>
        <w:rPr>
          <w:rFonts w:hint="eastAsia" w:ascii="宋体" w:hAnsi="宋体" w:eastAsia="宋体" w:cs="宋体"/>
          <w:color w:val="auto"/>
          <w:highlight w:val="none"/>
        </w:rPr>
        <w:t>1.2.4　标准和规范</w:t>
      </w:r>
      <w:bookmarkEnd w:id="93"/>
      <w:bookmarkEnd w:id="94"/>
      <w:r>
        <w:rPr>
          <w:rFonts w:hint="eastAsia" w:ascii="宋体" w:hAnsi="宋体" w:eastAsia="宋体" w:cs="宋体"/>
          <w:color w:val="auto"/>
          <w:highlight w:val="none"/>
        </w:rPr>
        <w:t>:</w:t>
      </w:r>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微机综合保护测控装置应遵照最新版本的电力行业标准（DL）、国家标准（GB）和IEC标准及国际单位制（SI），这是对设备的最低要求。表1为微机综合保护测控装置应遵循的主要标准。</w:t>
      </w:r>
    </w:p>
    <w:p>
      <w:pPr>
        <w:pStyle w:val="25"/>
        <w:spacing w:before="0" w:after="0" w:line="360" w:lineRule="auto"/>
        <w:rPr>
          <w:rFonts w:hint="eastAsia" w:ascii="宋体" w:hAnsi="宋体" w:eastAsia="宋体" w:cs="宋体"/>
          <w:color w:val="auto"/>
          <w:highlight w:val="none"/>
        </w:rPr>
      </w:pPr>
      <w:r>
        <w:rPr>
          <w:rFonts w:hint="eastAsia" w:ascii="宋体" w:hAnsi="宋体" w:eastAsia="宋体" w:cs="宋体"/>
          <w:color w:val="auto"/>
          <w:highlight w:val="none"/>
        </w:rPr>
        <w:t>表1  微机综合保护测控装置应遵循的主要标准</w:t>
      </w:r>
    </w:p>
    <w:tbl>
      <w:tblPr>
        <w:tblStyle w:val="15"/>
        <w:tblW w:w="0" w:type="auto"/>
        <w:tblInd w:w="19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43" w:type="dxa"/>
          <w:bottom w:w="0" w:type="dxa"/>
          <w:right w:w="43" w:type="dxa"/>
        </w:tblCellMar>
      </w:tblPr>
      <w:tblGrid>
        <w:gridCol w:w="1800"/>
        <w:gridCol w:w="684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标   准   号</w:t>
            </w:r>
          </w:p>
        </w:tc>
        <w:tc>
          <w:tcPr>
            <w:tcW w:w="684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标  准  名  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 4208</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外壳防护等级（IP代码）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191</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包装储运图示标志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2423</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电工电子产品环境试验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2887</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电子计算机场地通用规范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6593</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电子测量仪器质量检测规则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7261</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继电器及装置基本试验方法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9813</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微型计算机通用规范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11287</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电气继电器 第21部分：量度继电器和保护装置的振动、冲击、碰撞和</w:t>
            </w:r>
          </w:p>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地震试验第1篇：振动试验（正弦）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13729</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远动终端设备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13730</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地区电网调度自动化系统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14285</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继电保护和安全自动装置技术规程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14429</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远动设备及系统第1-3部分：总则术语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14537</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量度继电器和保护装置的冲击和碰撞试验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14598.3</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电气继电器第5部分：量度继电器和保护装置的绝缘配合要求和试验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14598.9</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电气继电器第22-3部分：量度继电器和保护装置的电气骚扰试验  辐射电磁场骚扰试验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14598.10</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电气继电器第22-4部分：量度继电器和保护装置的电气骚扰试验-电快速瞬变/脉冲群抗扰度试验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14598.13</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量度继电器和保护装置的电气干扰试验第1部分：1MHz脉冲群抗扰度试验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14598.14</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量度继电器和保护装置的电气干扰试验第2部分：静电放电试验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14598.17</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电气继电器第22-6部分：量度继电器和保护装置的电气骚扰试验-射频场感应的传导骚扰的抗扰度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14598.18</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电气继电器第22-5部分：量度继电器和保护装置的电气骚扰试验-浪涌抗扰度试验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14598.19</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电气继电器第22-7部分：量度继电器和保护装置的电气骚扰试验-工频抗扰度试验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15153.1</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远动设备及系统第2部分：工作条件第1篇：电源和电磁兼容性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15153.2</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远动设备及系统第2部分：工作条件第2篇：环境条件（气候、机械和其他非电影响因素）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15532</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计算机软件测试规范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16435.1</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远动设备及系统接口（电气特性）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17463</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远动设备及系统第4部分：性能要求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451</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循环式远动规约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478</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静态继电保护及安全自动装置通用技术条件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621</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交流电气装置的接地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630</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交流采样远动终端技术条件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634.5101</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远动设备及系统第5-101部分：传输规约基本远动任务配套标准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634.5104</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远动设备及系统第5-104部分：传输规约采用标准传输协议子集的IEC 60870-5-104网络访问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667</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远动设备及系统第5部分传输规约第103篇继电保护设备信息接口配套标准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720</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电力系统继电保护柜、屏通用技术条件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5136</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火力发电厂、变电站二次线设计技术规程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5137</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电测量及电能计量装置设计技术规程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Q/GDW 140</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交流采样测量装置运行检验管理规程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Q/GDW 213</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变电站计算机监控系统工厂验收管理规程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Q/GDW 214</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变电站计算机监控系统现场验收管理规程</w:t>
            </w:r>
          </w:p>
        </w:tc>
      </w:tr>
    </w:tbl>
    <w:p>
      <w:pPr>
        <w:pStyle w:val="2"/>
        <w:keepNext w:val="0"/>
        <w:keepLines w:val="0"/>
        <w:spacing w:line="360" w:lineRule="auto"/>
        <w:ind w:firstLine="0"/>
        <w:textAlignment w:val="auto"/>
        <w:rPr>
          <w:rFonts w:hint="eastAsia" w:ascii="宋体" w:hAnsi="宋体" w:eastAsia="宋体" w:cs="宋体"/>
          <w:b/>
          <w:color w:val="auto"/>
          <w:kern w:val="2"/>
          <w:highlight w:val="none"/>
        </w:rPr>
      </w:pPr>
      <w:bookmarkStart w:id="95" w:name="_Toc18303"/>
      <w:r>
        <w:rPr>
          <w:rFonts w:hint="eastAsia" w:ascii="宋体" w:hAnsi="宋体" w:eastAsia="宋体" w:cs="宋体"/>
          <w:b/>
          <w:color w:val="auto"/>
          <w:kern w:val="2"/>
          <w:highlight w:val="none"/>
        </w:rPr>
        <w:t>1.3</w:t>
      </w:r>
      <w:bookmarkEnd w:id="95"/>
      <w:r>
        <w:rPr>
          <w:rFonts w:hint="eastAsia" w:ascii="宋体" w:hAnsi="宋体" w:eastAsia="宋体" w:cs="宋体"/>
          <w:b/>
          <w:color w:val="auto"/>
          <w:kern w:val="2"/>
          <w:highlight w:val="none"/>
        </w:rPr>
        <w:t>微机综合保护测控装置</w:t>
      </w:r>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微机综合保护测控装置应采用多CPU结构方式，以实现保护、监视、控制、测量、通讯等功能。</w:t>
      </w:r>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微机综合保护测控装置选用国际知名品牌产品，不低于许继电气、南瑞继保、国电南自或同等档次品牌。</w:t>
      </w:r>
    </w:p>
    <w:p>
      <w:pPr>
        <w:numPr>
          <w:ilvl w:val="0"/>
          <w:numId w:val="2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应满足可靠性、选择性、灵敏性和速动性要求。</w:t>
      </w:r>
    </w:p>
    <w:p>
      <w:pPr>
        <w:numPr>
          <w:ilvl w:val="0"/>
          <w:numId w:val="2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微机综合保护测控装置就地安装在开关柜上。</w:t>
      </w:r>
    </w:p>
    <w:p>
      <w:pPr>
        <w:numPr>
          <w:ilvl w:val="0"/>
          <w:numId w:val="2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应具有开机自检和连续在线自检功能，装置中任一元件损坏，不应造成保护误动作，且能发出装置异常信号，故障标志达到模块级。</w:t>
      </w:r>
    </w:p>
    <w:p>
      <w:pPr>
        <w:numPr>
          <w:ilvl w:val="0"/>
          <w:numId w:val="2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应具有可靠的硬件闭锁功能，以保证在任何情况下不误动，只有在发生故障，保护装置启动时才允许开放跳闸回路。</w:t>
      </w:r>
    </w:p>
    <w:p>
      <w:pPr>
        <w:numPr>
          <w:ilvl w:val="0"/>
          <w:numId w:val="2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应具有自复位电路，发生“死机”现象应能通过复位电路恢复正常工作。</w:t>
      </w:r>
    </w:p>
    <w:p>
      <w:pPr>
        <w:numPr>
          <w:ilvl w:val="0"/>
          <w:numId w:val="2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应具有数据存储及故障录波功能：可记录12个模拟量通道和64个开关量信号通道的录波。可记录最多100条故障录波，最长可达20秒。</w:t>
      </w:r>
    </w:p>
    <w:p>
      <w:pPr>
        <w:numPr>
          <w:ilvl w:val="0"/>
          <w:numId w:val="2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应配置时钟元件，并与变电所综合自动化系统实现自动对时。</w:t>
      </w:r>
    </w:p>
    <w:p>
      <w:pPr>
        <w:numPr>
          <w:ilvl w:val="0"/>
          <w:numId w:val="2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输入\输出应具有用户自定义编程特性。</w:t>
      </w:r>
    </w:p>
    <w:p>
      <w:pPr>
        <w:numPr>
          <w:ilvl w:val="0"/>
          <w:numId w:val="2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应具有当地\远方和运行\试验操作转换功能。</w:t>
      </w:r>
    </w:p>
    <w:p>
      <w:pPr>
        <w:numPr>
          <w:ilvl w:val="0"/>
          <w:numId w:val="2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具有保护选择功能，每一种保护均可单独投入切除。</w:t>
      </w:r>
    </w:p>
    <w:p>
      <w:pPr>
        <w:numPr>
          <w:ilvl w:val="0"/>
          <w:numId w:val="2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具有回路隔离功能，当试验运行时，该保护退出运行。</w:t>
      </w:r>
    </w:p>
    <w:p>
      <w:pPr>
        <w:numPr>
          <w:ilvl w:val="0"/>
          <w:numId w:val="2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应保证多CPU间的协调性，保证保护、监视、控制、测量、通讯等各功能的可靠实现。</w:t>
      </w:r>
    </w:p>
    <w:p>
      <w:pPr>
        <w:numPr>
          <w:ilvl w:val="0"/>
          <w:numId w:val="2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控制电源：DC 220V</w:t>
      </w:r>
    </w:p>
    <w:p>
      <w:pPr>
        <w:pStyle w:val="2"/>
        <w:keepNext w:val="0"/>
        <w:keepLines w:val="0"/>
        <w:spacing w:line="360" w:lineRule="auto"/>
        <w:ind w:firstLine="0"/>
        <w:textAlignment w:val="auto"/>
        <w:rPr>
          <w:rFonts w:hint="eastAsia" w:ascii="宋体" w:hAnsi="宋体" w:eastAsia="宋体" w:cs="宋体"/>
          <w:b/>
          <w:color w:val="auto"/>
          <w:kern w:val="2"/>
          <w:highlight w:val="none"/>
        </w:rPr>
      </w:pPr>
      <w:bookmarkStart w:id="96" w:name="_Toc23580"/>
      <w:r>
        <w:rPr>
          <w:rFonts w:hint="eastAsia" w:ascii="宋体" w:hAnsi="宋体" w:eastAsia="宋体" w:cs="宋体"/>
          <w:b/>
          <w:color w:val="auto"/>
          <w:kern w:val="2"/>
          <w:highlight w:val="none"/>
        </w:rPr>
        <w:t>1.4具体技术要求</w:t>
      </w:r>
      <w:bookmarkEnd w:id="96"/>
    </w:p>
    <w:p>
      <w:pPr>
        <w:pStyle w:val="22"/>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1.4.1 10kV变压器保护</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6路电流输入，3路电压输入</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10kV侧定时限或反时限过电流保护</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0.4kV侧低电压保护</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跳闸回路监视</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自锁功能</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电流、电压、功率、功率因数、频率等测量功能</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保护配置包括但不限于以上项目</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开关量可自由定义的输入点不少于12个</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开关量可自由定义的输出点不少于10个</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装置至少应有三个独立和同时工作的标准通信接口。一个用于连接当地PC机(RJ45网口)相连，实现各种调试功能，对保护进行就地访问、编程等；背面上应提供至少两个IEC61850标准通信光纤接口用于与所内通信网络通讯，以实现保护信息的传送、远方的控制、监视测量等远动功能。</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装置应具备中文界面液晶显示器，可显示各种测量值，且可显示一次单线图。</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4.3 10kV进线保护</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4路电流输入，4路电压输入</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电流速断保护</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定时限或反时限过电流保护</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方向过电流保护</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零序过流保护</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跳闸回路监视</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自锁功能</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电流、电压、功率、功率因数、频率等测量功能</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开关量可自由定义的输入点不少于12个</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开关量可自由定义的输出点不少于10个</w:t>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装置至少应有三个独立和同时工作的标准通信接口。一个用于连接当地PC机(RJ45网口)相连，实现各种调试功能，对保护进行就地访问、编程等；背面上应提供至少两个IEC61850标准通信光纤接口用于与所内通信网络通讯，以实现保护信息的传送、远方的控制、监视测量等远动功能。</w:t>
      </w:r>
      <w:r>
        <w:rPr>
          <w:rFonts w:hint="eastAsia" w:ascii="宋体" w:hAnsi="宋体" w:cs="宋体"/>
          <w:bCs/>
          <w:color w:val="auto"/>
          <w:szCs w:val="21"/>
          <w:highlight w:val="none"/>
        </w:rPr>
        <w:tab/>
      </w:r>
    </w:p>
    <w:p>
      <w:pPr>
        <w:numPr>
          <w:ilvl w:val="0"/>
          <w:numId w:val="2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装置应具备中文界面液晶显示器，可显示各种测量值，且可显示一次单线图。</w:t>
      </w:r>
    </w:p>
    <w:p>
      <w:pPr>
        <w:pStyle w:val="2"/>
        <w:keepNext w:val="0"/>
        <w:keepLines w:val="0"/>
        <w:spacing w:line="360" w:lineRule="auto"/>
        <w:ind w:firstLine="0"/>
        <w:textAlignment w:val="auto"/>
        <w:rPr>
          <w:rFonts w:hint="eastAsia" w:ascii="宋体" w:hAnsi="宋体" w:eastAsia="宋体" w:cs="宋体"/>
          <w:b/>
          <w:color w:val="auto"/>
          <w:kern w:val="2"/>
          <w:highlight w:val="none"/>
        </w:rPr>
      </w:pPr>
      <w:bookmarkStart w:id="97" w:name="_Toc23145"/>
      <w:r>
        <w:rPr>
          <w:rFonts w:hint="eastAsia" w:ascii="宋体" w:hAnsi="宋体" w:eastAsia="宋体" w:cs="宋体"/>
          <w:b/>
          <w:color w:val="auto"/>
          <w:kern w:val="2"/>
          <w:highlight w:val="none"/>
        </w:rPr>
        <w:t>1.5资料</w:t>
      </w:r>
      <w:r>
        <w:rPr>
          <w:rFonts w:hint="eastAsia" w:ascii="宋体" w:hAnsi="宋体" w:eastAsia="宋体" w:cs="宋体"/>
          <w:b/>
          <w:color w:val="auto"/>
          <w:kern w:val="2"/>
          <w:sz w:val="21"/>
          <w:szCs w:val="21"/>
          <w:highlight w:val="none"/>
        </w:rPr>
        <w:t>交付</w:t>
      </w:r>
      <w:bookmarkEnd w:id="97"/>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1.5.1所有的技术资料均采用中文。</w:t>
      </w:r>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1.5.2供方提供微机综合保护继电器外形尺寸、重量、设备安装的孔洞及其他对开关柜制造厂的要求。</w:t>
      </w:r>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1.5.3供方根据需方提供的订货技术资料和技术要求等，提供二次原理图、端子接线图、设备说明书等。</w:t>
      </w:r>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1.5.4供方提供的二次原理接线图、端子接线图的表达方法必须遵循相应的国家标准。</w:t>
      </w:r>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注：乙方向甲方提交的资料、图纸，除各级审核签字的纸质文件外，还应提供电子文档。</w:t>
      </w:r>
    </w:p>
    <w:p>
      <w:pPr>
        <w:pStyle w:val="2"/>
        <w:keepNext w:val="0"/>
        <w:keepLines w:val="0"/>
        <w:spacing w:line="360" w:lineRule="auto"/>
        <w:ind w:firstLine="0"/>
        <w:textAlignment w:val="auto"/>
        <w:rPr>
          <w:rFonts w:hint="eastAsia" w:ascii="宋体" w:hAnsi="宋体" w:eastAsia="宋体" w:cs="宋体"/>
          <w:b/>
          <w:color w:val="auto"/>
          <w:kern w:val="2"/>
          <w:highlight w:val="none"/>
        </w:rPr>
      </w:pPr>
      <w:bookmarkStart w:id="98" w:name="_Toc30530"/>
      <w:r>
        <w:rPr>
          <w:rFonts w:hint="eastAsia" w:ascii="宋体" w:hAnsi="宋体" w:eastAsia="宋体" w:cs="宋体"/>
          <w:b/>
          <w:color w:val="auto"/>
          <w:kern w:val="2"/>
          <w:highlight w:val="none"/>
        </w:rPr>
        <w:t>1.6功能指标、</w:t>
      </w:r>
      <w:r>
        <w:rPr>
          <w:rFonts w:hint="eastAsia" w:ascii="宋体" w:hAnsi="宋体" w:eastAsia="宋体" w:cs="宋体"/>
          <w:b/>
          <w:color w:val="auto"/>
          <w:kern w:val="2"/>
          <w:sz w:val="21"/>
          <w:szCs w:val="21"/>
          <w:highlight w:val="none"/>
        </w:rPr>
        <w:t>保证</w:t>
      </w:r>
      <w:r>
        <w:rPr>
          <w:rFonts w:hint="eastAsia" w:ascii="宋体" w:hAnsi="宋体" w:eastAsia="宋体" w:cs="宋体"/>
          <w:b/>
          <w:color w:val="auto"/>
          <w:kern w:val="2"/>
          <w:highlight w:val="none"/>
        </w:rPr>
        <w:t>值和考核方法</w:t>
      </w:r>
      <w:bookmarkEnd w:id="98"/>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1.6.1供方应提供设备监制检验大纲及在现场安装调试完成后的功能指标、保证值和考核方法，以便需方对设备进行监制及最终验收。</w:t>
      </w:r>
    </w:p>
    <w:p>
      <w:pPr>
        <w:pStyle w:val="2"/>
        <w:keepNext w:val="0"/>
        <w:keepLines w:val="0"/>
        <w:spacing w:line="360" w:lineRule="auto"/>
        <w:ind w:firstLine="0"/>
        <w:textAlignment w:val="auto"/>
        <w:rPr>
          <w:rFonts w:hint="eastAsia" w:ascii="宋体" w:hAnsi="宋体" w:eastAsia="宋体" w:cs="宋体"/>
          <w:b/>
          <w:color w:val="auto"/>
          <w:kern w:val="2"/>
          <w:highlight w:val="none"/>
        </w:rPr>
      </w:pPr>
      <w:bookmarkStart w:id="99" w:name="_Toc13545"/>
      <w:r>
        <w:rPr>
          <w:rFonts w:hint="eastAsia" w:ascii="宋体" w:hAnsi="宋体" w:eastAsia="宋体" w:cs="宋体"/>
          <w:b/>
          <w:color w:val="auto"/>
          <w:kern w:val="2"/>
          <w:highlight w:val="none"/>
        </w:rPr>
        <w:t>1.7其它</w:t>
      </w:r>
      <w:bookmarkEnd w:id="99"/>
    </w:p>
    <w:p>
      <w:pPr>
        <w:tabs>
          <w:tab w:val="left" w:pos="420"/>
        </w:tabs>
        <w:spacing w:line="360" w:lineRule="auto"/>
        <w:ind w:left="420"/>
        <w:rPr>
          <w:rFonts w:hint="eastAsia" w:ascii="宋体" w:hAnsi="宋体" w:cs="宋体"/>
          <w:bCs/>
          <w:color w:val="auto"/>
          <w:szCs w:val="21"/>
          <w:highlight w:val="none"/>
        </w:rPr>
      </w:pPr>
      <w:r>
        <w:rPr>
          <w:rFonts w:hint="eastAsia" w:ascii="宋体" w:hAnsi="宋体" w:cs="宋体"/>
          <w:bCs/>
          <w:color w:val="auto"/>
          <w:szCs w:val="21"/>
          <w:highlight w:val="none"/>
        </w:rPr>
        <w:t>1.7.1供方负责设备的现场调试工作。</w:t>
      </w:r>
    </w:p>
    <w:p>
      <w:pPr>
        <w:tabs>
          <w:tab w:val="left" w:pos="420"/>
        </w:tabs>
        <w:spacing w:line="360" w:lineRule="auto"/>
        <w:ind w:left="420"/>
        <w:rPr>
          <w:rFonts w:hint="eastAsia" w:ascii="宋体" w:hAnsi="宋体" w:cs="宋体"/>
          <w:bCs/>
          <w:color w:val="auto"/>
          <w:szCs w:val="21"/>
          <w:highlight w:val="none"/>
        </w:rPr>
      </w:pPr>
      <w:r>
        <w:rPr>
          <w:rFonts w:hint="eastAsia" w:ascii="宋体" w:hAnsi="宋体" w:cs="宋体"/>
          <w:bCs/>
          <w:color w:val="auto"/>
          <w:szCs w:val="21"/>
          <w:highlight w:val="none"/>
        </w:rPr>
        <w:t>1.7.2供方负责为需方提供相关培训。</w:t>
      </w:r>
    </w:p>
    <w:p>
      <w:pPr>
        <w:tabs>
          <w:tab w:val="left" w:pos="420"/>
        </w:tabs>
        <w:spacing w:line="360" w:lineRule="auto"/>
        <w:ind w:left="420"/>
        <w:rPr>
          <w:rFonts w:hint="eastAsia" w:ascii="宋体" w:hAnsi="宋体" w:cs="宋体"/>
          <w:color w:val="auto"/>
          <w:szCs w:val="21"/>
          <w:highlight w:val="none"/>
        </w:rPr>
      </w:pPr>
      <w:r>
        <w:rPr>
          <w:rFonts w:hint="eastAsia" w:ascii="宋体" w:hAnsi="宋体" w:cs="宋体"/>
          <w:bCs/>
          <w:color w:val="auto"/>
          <w:szCs w:val="21"/>
          <w:highlight w:val="none"/>
        </w:rPr>
        <w:t>1.7.3供方有责任及时解决供货出现的问题，做好售后服务工作，及时响应应答，及时到达现场。</w:t>
      </w:r>
    </w:p>
    <w:p>
      <w:pPr>
        <w:autoSpaceDE w:val="0"/>
        <w:autoSpaceDN w:val="0"/>
        <w:adjustRightInd w:val="0"/>
        <w:snapToGrid w:val="0"/>
        <w:spacing w:line="360" w:lineRule="auto"/>
        <w:jc w:val="center"/>
        <w:outlineLvl w:val="0"/>
        <w:rPr>
          <w:rFonts w:hint="eastAsia" w:ascii="宋体" w:hAnsi="宋体" w:cs="宋体"/>
          <w:b/>
          <w:snapToGrid w:val="0"/>
          <w:color w:val="auto"/>
          <w:spacing w:val="1"/>
          <w:w w:val="99"/>
          <w:kern w:val="0"/>
          <w:szCs w:val="21"/>
          <w:highlight w:val="none"/>
        </w:rPr>
      </w:pPr>
      <w:r>
        <w:rPr>
          <w:rFonts w:ascii="宋体" w:hAnsi="宋体" w:cs="宋体"/>
          <w:b/>
          <w:snapToGrid w:val="0"/>
          <w:color w:val="auto"/>
          <w:spacing w:val="1"/>
          <w:w w:val="99"/>
          <w:kern w:val="0"/>
          <w:szCs w:val="21"/>
          <w:highlight w:val="none"/>
        </w:rPr>
        <w:br w:type="page"/>
      </w:r>
      <w:bookmarkStart w:id="100" w:name="_Toc27924"/>
      <w:r>
        <w:rPr>
          <w:rFonts w:hint="eastAsia" w:ascii="宋体" w:hAnsi="宋体" w:cs="宋体"/>
          <w:b/>
          <w:snapToGrid w:val="0"/>
          <w:color w:val="auto"/>
          <w:spacing w:val="1"/>
          <w:w w:val="99"/>
          <w:kern w:val="0"/>
          <w:szCs w:val="21"/>
          <w:highlight w:val="none"/>
        </w:rPr>
        <w:t>四、10kV变电站监控系统技术规范书</w:t>
      </w:r>
      <w:bookmarkEnd w:id="100"/>
    </w:p>
    <w:p>
      <w:pPr>
        <w:overflowPunct w:val="0"/>
        <w:topLinePunct/>
        <w:spacing w:line="360" w:lineRule="auto"/>
        <w:ind w:firstLine="422" w:firstLineChars="200"/>
        <w:rPr>
          <w:rFonts w:hint="eastAsia" w:ascii="宋体" w:hAnsi="宋体" w:cs="宋体"/>
          <w:b/>
          <w:color w:val="auto"/>
          <w:szCs w:val="21"/>
          <w:highlight w:val="none"/>
        </w:rPr>
      </w:pPr>
    </w:p>
    <w:p>
      <w:pPr>
        <w:pStyle w:val="2"/>
        <w:keepNext w:val="0"/>
        <w:keepLines w:val="0"/>
        <w:spacing w:line="360" w:lineRule="auto"/>
        <w:ind w:firstLine="0"/>
        <w:textAlignment w:val="auto"/>
        <w:rPr>
          <w:rFonts w:hint="eastAsia" w:ascii="宋体" w:hAnsi="宋体" w:eastAsia="宋体" w:cs="宋体"/>
          <w:b/>
          <w:color w:val="auto"/>
          <w:kern w:val="2"/>
          <w:sz w:val="21"/>
          <w:szCs w:val="21"/>
          <w:highlight w:val="none"/>
        </w:rPr>
      </w:pPr>
      <w:bookmarkStart w:id="101" w:name="_Toc10273"/>
      <w:r>
        <w:rPr>
          <w:rFonts w:hint="eastAsia" w:ascii="宋体" w:hAnsi="宋体" w:eastAsia="宋体" w:cs="宋体"/>
          <w:b/>
          <w:color w:val="auto"/>
          <w:kern w:val="2"/>
          <w:sz w:val="21"/>
          <w:szCs w:val="21"/>
          <w:highlight w:val="none"/>
        </w:rPr>
        <w:t>1.1总则</w:t>
      </w:r>
      <w:bookmarkEnd w:id="101"/>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1.1.1引言</w:t>
      </w:r>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系统应满足变电站无人值班的要求。所提供设备应满足10kV变电站计算机监控系统的系统结构、技术参数、功能、试验等方面的技术要求。</w:t>
      </w:r>
    </w:p>
    <w:p>
      <w:pPr>
        <w:pStyle w:val="22"/>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1.1.2供方职责</w:t>
      </w:r>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供方的工作范围将包括但不限于下列内容。</w:t>
      </w:r>
    </w:p>
    <w:p>
      <w:pPr>
        <w:overflowPunct w:val="0"/>
        <w:topLinePunct/>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1.1.3提供标书内所有设备及设计说明书及制造方面的说明。</w:t>
      </w:r>
    </w:p>
    <w:p>
      <w:pPr>
        <w:overflowPunct w:val="0"/>
        <w:topLinePunct/>
        <w:snapToGrid w:val="0"/>
        <w:spacing w:line="360" w:lineRule="auto"/>
        <w:ind w:firstLine="420" w:firstLineChars="200"/>
        <w:rPr>
          <w:rFonts w:hint="eastAsia" w:ascii="宋体" w:hAnsi="宋体" w:cs="宋体"/>
          <w:color w:val="auto"/>
          <w:spacing w:val="-6"/>
          <w:szCs w:val="21"/>
          <w:highlight w:val="none"/>
        </w:rPr>
      </w:pPr>
      <w:r>
        <w:rPr>
          <w:rStyle w:val="27"/>
          <w:rFonts w:hint="eastAsia" w:ascii="宋体" w:hAnsi="宋体" w:eastAsia="宋体" w:cs="宋体"/>
          <w:color w:val="auto"/>
          <w:highlight w:val="none"/>
        </w:rPr>
        <w:t>1.1.4</w:t>
      </w:r>
      <w:r>
        <w:rPr>
          <w:rFonts w:hint="eastAsia" w:ascii="宋体" w:hAnsi="宋体" w:cs="宋体"/>
          <w:color w:val="auto"/>
          <w:spacing w:val="-6"/>
          <w:szCs w:val="21"/>
          <w:highlight w:val="none"/>
        </w:rPr>
        <w:t>提供国家或电力工业检验检测机构出具的型式试验报告，以便确认供货设备能否满足所有的性能要求。</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1.1.5</w:t>
      </w:r>
      <w:r>
        <w:rPr>
          <w:rFonts w:hint="eastAsia" w:ascii="宋体" w:hAnsi="宋体" w:cs="宋体"/>
          <w:color w:val="auto"/>
          <w:szCs w:val="21"/>
          <w:highlight w:val="none"/>
        </w:rPr>
        <w:t>供设备安装、使用的说明书。</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1.1.6</w:t>
      </w:r>
      <w:r>
        <w:rPr>
          <w:rFonts w:hint="eastAsia" w:ascii="宋体" w:hAnsi="宋体" w:cs="宋体"/>
          <w:color w:val="auto"/>
          <w:szCs w:val="21"/>
          <w:highlight w:val="none"/>
        </w:rPr>
        <w:t>供试验和检验的标准，包括试验报告和试验数据。</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1.1.7</w:t>
      </w:r>
      <w:r>
        <w:rPr>
          <w:rFonts w:hint="eastAsia" w:ascii="宋体" w:hAnsi="宋体" w:cs="宋体"/>
          <w:color w:val="auto"/>
          <w:szCs w:val="21"/>
          <w:highlight w:val="none"/>
        </w:rPr>
        <w:t>提供图纸，制造和质量保证过程的一览表以及标书规定的其他资料。</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1.1.8</w:t>
      </w:r>
      <w:r>
        <w:rPr>
          <w:rFonts w:hint="eastAsia" w:ascii="宋体" w:hAnsi="宋体" w:cs="宋体"/>
          <w:color w:val="auto"/>
          <w:szCs w:val="21"/>
          <w:highlight w:val="none"/>
        </w:rPr>
        <w:t>提供设备管理和运行所需有关资料。</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1.1.9</w:t>
      </w:r>
      <w:r>
        <w:rPr>
          <w:rFonts w:hint="eastAsia" w:ascii="宋体" w:hAnsi="宋体" w:cs="宋体"/>
          <w:color w:val="auto"/>
          <w:szCs w:val="21"/>
          <w:highlight w:val="none"/>
        </w:rPr>
        <w:t>所提供设备应发运到规定的目的地。</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1.1.10</w:t>
      </w:r>
      <w:r>
        <w:rPr>
          <w:rFonts w:hint="eastAsia" w:ascii="宋体" w:hAnsi="宋体" w:cs="宋体"/>
          <w:color w:val="auto"/>
          <w:szCs w:val="21"/>
          <w:highlight w:val="none"/>
        </w:rPr>
        <w:t>如标准、规范与本规范书的条文有明显的冲突，则供方应在制造设备前，用书面形式将冲突和解决办法告知需方，并经需方确认后，才能进行设备制造。</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1.1.11</w:t>
      </w:r>
      <w:r>
        <w:rPr>
          <w:rFonts w:hint="eastAsia" w:ascii="宋体" w:hAnsi="宋体" w:cs="宋体"/>
          <w:color w:val="auto"/>
          <w:szCs w:val="21"/>
          <w:highlight w:val="none"/>
        </w:rPr>
        <w:t>现场服务。</w:t>
      </w:r>
    </w:p>
    <w:p>
      <w:pPr>
        <w:pStyle w:val="2"/>
        <w:keepNext w:val="0"/>
        <w:keepLines w:val="0"/>
        <w:spacing w:line="360" w:lineRule="auto"/>
        <w:ind w:firstLine="0"/>
        <w:textAlignment w:val="auto"/>
        <w:rPr>
          <w:rFonts w:hint="eastAsia" w:ascii="宋体" w:hAnsi="宋体" w:eastAsia="宋体" w:cs="宋体"/>
          <w:b/>
          <w:color w:val="auto"/>
          <w:kern w:val="2"/>
          <w:highlight w:val="none"/>
        </w:rPr>
      </w:pPr>
      <w:bookmarkStart w:id="102" w:name="_Toc26497"/>
      <w:r>
        <w:rPr>
          <w:rFonts w:hint="eastAsia" w:ascii="宋体" w:hAnsi="宋体" w:eastAsia="宋体" w:cs="宋体"/>
          <w:b/>
          <w:color w:val="auto"/>
          <w:kern w:val="2"/>
          <w:highlight w:val="none"/>
        </w:rPr>
        <w:t>1.2主要技术</w:t>
      </w:r>
      <w:r>
        <w:rPr>
          <w:rFonts w:hint="eastAsia" w:ascii="宋体" w:hAnsi="宋体" w:eastAsia="宋体" w:cs="宋体"/>
          <w:b/>
          <w:color w:val="auto"/>
          <w:kern w:val="2"/>
          <w:sz w:val="21"/>
          <w:szCs w:val="21"/>
          <w:highlight w:val="none"/>
        </w:rPr>
        <w:t>指标</w:t>
      </w:r>
      <w:bookmarkEnd w:id="102"/>
    </w:p>
    <w:p>
      <w:pPr>
        <w:overflowPunct w:val="0"/>
        <w:topLinePunct/>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1.2.1标准技术参数</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1661"/>
        <w:gridCol w:w="42"/>
        <w:gridCol w:w="2604"/>
        <w:gridCol w:w="871"/>
        <w:gridCol w:w="3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序号</w:t>
            </w:r>
          </w:p>
        </w:tc>
        <w:tc>
          <w:tcPr>
            <w:tcW w:w="4307" w:type="dxa"/>
            <w:gridSpan w:val="3"/>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参数名称</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单位</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标准参数值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w:t>
            </w:r>
          </w:p>
        </w:tc>
        <w:tc>
          <w:tcPr>
            <w:tcW w:w="4307" w:type="dxa"/>
            <w:gridSpan w:val="3"/>
            <w:vAlign w:val="center"/>
          </w:tcPr>
          <w:p>
            <w:pPr>
              <w:pStyle w:val="29"/>
              <w:topLinePunct/>
              <w:snapToGrid w:val="0"/>
              <w:spacing w:before="48" w:after="48" w:line="360" w:lineRule="auto"/>
              <w:ind w:left="-57" w:right="-57" w:firstLine="0" w:firstLineChars="0"/>
              <w:jc w:val="center"/>
              <w:rPr>
                <w:rFonts w:hint="eastAsia" w:ascii="宋体" w:hAnsi="宋体" w:cs="宋体"/>
                <w:color w:val="auto"/>
                <w:sz w:val="21"/>
                <w:szCs w:val="21"/>
                <w:highlight w:val="none"/>
              </w:rPr>
            </w:pPr>
            <w:r>
              <w:rPr>
                <w:rFonts w:hint="eastAsia" w:ascii="宋体" w:hAnsi="宋体" w:cs="宋体"/>
                <w:color w:val="auto"/>
                <w:sz w:val="21"/>
                <w:szCs w:val="21"/>
                <w:highlight w:val="none"/>
              </w:rPr>
              <w:t>电流量、电压量测量误差*</w:t>
            </w:r>
          </w:p>
        </w:tc>
        <w:tc>
          <w:tcPr>
            <w:tcW w:w="871" w:type="dxa"/>
            <w:vAlign w:val="center"/>
          </w:tcPr>
          <w:p>
            <w:pPr>
              <w:pStyle w:val="29"/>
              <w:topLinePunct/>
              <w:snapToGrid w:val="0"/>
              <w:spacing w:before="48" w:after="48" w:line="360" w:lineRule="auto"/>
              <w:ind w:left="-57" w:right="-57" w:firstLine="0" w:firstLineChars="0"/>
              <w:jc w:val="center"/>
              <w:rPr>
                <w:rFonts w:hint="eastAsia" w:ascii="宋体" w:hAnsi="宋体" w:cs="宋体"/>
                <w:color w:val="auto"/>
                <w:sz w:val="21"/>
                <w:szCs w:val="21"/>
                <w:highlight w:val="none"/>
              </w:rPr>
            </w:pPr>
            <w:r>
              <w:rPr>
                <w:rFonts w:hint="eastAsia" w:ascii="宋体" w:hAnsi="宋体" w:cs="宋体"/>
                <w:color w:val="auto"/>
                <w:sz w:val="21"/>
                <w:szCs w:val="21"/>
                <w:highlight w:val="none"/>
              </w:rPr>
              <w:t>％</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Align w:val="center"/>
          </w:tcPr>
          <w:p>
            <w:pPr>
              <w:tabs>
                <w:tab w:val="center" w:pos="286"/>
              </w:tabs>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2</w:t>
            </w:r>
          </w:p>
        </w:tc>
        <w:tc>
          <w:tcPr>
            <w:tcW w:w="4307" w:type="dxa"/>
            <w:gridSpan w:val="3"/>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有功功率、无功功率测量误差*</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3</w:t>
            </w:r>
          </w:p>
        </w:tc>
        <w:tc>
          <w:tcPr>
            <w:tcW w:w="4307" w:type="dxa"/>
            <w:gridSpan w:val="3"/>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电网频率测量误差*</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Hz</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4</w:t>
            </w:r>
          </w:p>
        </w:tc>
        <w:tc>
          <w:tcPr>
            <w:tcW w:w="4307" w:type="dxa"/>
            <w:gridSpan w:val="3"/>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模拟量越死区传送整定最小值</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≥0.1％（额定值），并逐点可调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Merge w:val="restart"/>
            <w:vAlign w:val="center"/>
          </w:tcPr>
          <w:p>
            <w:pPr>
              <w:tabs>
                <w:tab w:val="center" w:pos="286"/>
              </w:tabs>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5</w:t>
            </w:r>
          </w:p>
        </w:tc>
        <w:tc>
          <w:tcPr>
            <w:tcW w:w="1661" w:type="dxa"/>
            <w:vMerge w:val="restart"/>
            <w:vAlign w:val="center"/>
          </w:tcPr>
          <w:p>
            <w:pPr>
              <w:topLinePunct/>
              <w:snapToGrid w:val="0"/>
              <w:spacing w:before="48" w:after="48" w:line="360" w:lineRule="auto"/>
              <w:ind w:left="-85" w:right="-85"/>
              <w:jc w:val="center"/>
              <w:rPr>
                <w:rFonts w:hint="eastAsia" w:ascii="宋体" w:hAnsi="宋体" w:cs="宋体"/>
                <w:color w:val="auto"/>
                <w:szCs w:val="21"/>
                <w:highlight w:val="none"/>
              </w:rPr>
            </w:pPr>
            <w:r>
              <w:rPr>
                <w:rFonts w:hint="eastAsia" w:ascii="宋体" w:hAnsi="宋体" w:cs="宋体"/>
                <w:color w:val="auto"/>
                <w:szCs w:val="21"/>
                <w:highlight w:val="none"/>
              </w:rPr>
              <w:t>事件顺序记录分辨率（SOE）*</w:t>
            </w:r>
          </w:p>
        </w:tc>
        <w:tc>
          <w:tcPr>
            <w:tcW w:w="2646" w:type="dxa"/>
            <w:gridSpan w:val="2"/>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站控层</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ms</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Merge w:val="continue"/>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1661" w:type="dxa"/>
            <w:vMerge w:val="continue"/>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2646" w:type="dxa"/>
            <w:gridSpan w:val="2"/>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间隔层测控单元</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ms</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Align w:val="center"/>
          </w:tcPr>
          <w:p>
            <w:pPr>
              <w:tabs>
                <w:tab w:val="center" w:pos="286"/>
              </w:tabs>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6</w:t>
            </w:r>
          </w:p>
        </w:tc>
        <w:tc>
          <w:tcPr>
            <w:tcW w:w="4307" w:type="dxa"/>
            <w:gridSpan w:val="3"/>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模拟量越死区传送时间（至站控层）</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s</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Align w:val="center"/>
          </w:tcPr>
          <w:p>
            <w:pPr>
              <w:tabs>
                <w:tab w:val="center" w:pos="286"/>
              </w:tabs>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7</w:t>
            </w:r>
          </w:p>
        </w:tc>
        <w:tc>
          <w:tcPr>
            <w:tcW w:w="4307" w:type="dxa"/>
            <w:gridSpan w:val="3"/>
            <w:vAlign w:val="center"/>
          </w:tcPr>
          <w:p>
            <w:pPr>
              <w:topLinePunct/>
              <w:snapToGrid w:val="0"/>
              <w:spacing w:before="48" w:after="48" w:line="360" w:lineRule="auto"/>
              <w:ind w:left="-57" w:right="-57"/>
              <w:jc w:val="center"/>
              <w:rPr>
                <w:rFonts w:hint="eastAsia" w:ascii="宋体" w:hAnsi="宋体" w:cs="宋体"/>
                <w:color w:val="auto"/>
                <w:szCs w:val="21"/>
                <w:highlight w:val="none"/>
                <w:lang w:val="zh-CN"/>
              </w:rPr>
            </w:pPr>
            <w:r>
              <w:rPr>
                <w:rFonts w:hint="eastAsia" w:ascii="宋体" w:hAnsi="宋体" w:cs="宋体"/>
                <w:color w:val="auto"/>
                <w:szCs w:val="21"/>
                <w:highlight w:val="none"/>
              </w:rPr>
              <w:t>状态量变位传送时间（至站控层）*</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s</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8</w:t>
            </w:r>
          </w:p>
        </w:tc>
        <w:tc>
          <w:tcPr>
            <w:tcW w:w="4307" w:type="dxa"/>
            <w:gridSpan w:val="3"/>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模拟信息响应时间（从I/O输入端至远动通信装置出口）*</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s</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9</w:t>
            </w:r>
          </w:p>
        </w:tc>
        <w:tc>
          <w:tcPr>
            <w:tcW w:w="4307" w:type="dxa"/>
            <w:gridSpan w:val="3"/>
            <w:vAlign w:val="center"/>
          </w:tcPr>
          <w:p>
            <w:pPr>
              <w:pStyle w:val="30"/>
              <w:snapToGrid w:val="0"/>
              <w:spacing w:before="48" w:after="48" w:line="360" w:lineRule="auto"/>
              <w:rPr>
                <w:rFonts w:ascii="宋体" w:hAnsi="宋体" w:cs="宋体"/>
                <w:color w:val="auto"/>
                <w:szCs w:val="21"/>
                <w:highlight w:val="none"/>
                <w:lang w:val="zh-CN"/>
              </w:rPr>
            </w:pPr>
            <w:r>
              <w:rPr>
                <w:rFonts w:ascii="宋体" w:hAnsi="宋体" w:cs="宋体"/>
                <w:color w:val="auto"/>
                <w:szCs w:val="21"/>
                <w:highlight w:val="none"/>
              </w:rPr>
              <w:t>状态量变化响应时间（从I/O输入端至远动通信装置出口）*</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s</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10</w:t>
            </w:r>
          </w:p>
        </w:tc>
        <w:tc>
          <w:tcPr>
            <w:tcW w:w="4307" w:type="dxa"/>
            <w:gridSpan w:val="3"/>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控制执行命令从生成到输出的时间</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s</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11</w:t>
            </w:r>
          </w:p>
        </w:tc>
        <w:tc>
          <w:tcPr>
            <w:tcW w:w="4307" w:type="dxa"/>
            <w:gridSpan w:val="3"/>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双机系统可用率*</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12</w:t>
            </w:r>
          </w:p>
        </w:tc>
        <w:tc>
          <w:tcPr>
            <w:tcW w:w="4307" w:type="dxa"/>
            <w:gridSpan w:val="3"/>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控制操作正确率*</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13</w:t>
            </w:r>
          </w:p>
        </w:tc>
        <w:tc>
          <w:tcPr>
            <w:tcW w:w="4307" w:type="dxa"/>
            <w:gridSpan w:val="3"/>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站控层平均无故障间隔时间（MTBF）</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h</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≥20000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14</w:t>
            </w:r>
          </w:p>
        </w:tc>
        <w:tc>
          <w:tcPr>
            <w:tcW w:w="4307" w:type="dxa"/>
            <w:gridSpan w:val="3"/>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间隔级测控单元平均无故障间隔时间*</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h</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≥30000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blHeader/>
        </w:trPr>
        <w:tc>
          <w:tcPr>
            <w:tcW w:w="666" w:type="dxa"/>
            <w:vMerge w:val="restart"/>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15</w:t>
            </w:r>
          </w:p>
        </w:tc>
        <w:tc>
          <w:tcPr>
            <w:tcW w:w="1703" w:type="dxa"/>
            <w:gridSpan w:val="2"/>
            <w:vMerge w:val="restart"/>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各工作站的CPU平均</w:t>
            </w:r>
          </w:p>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负荷率</w:t>
            </w:r>
          </w:p>
        </w:tc>
        <w:tc>
          <w:tcPr>
            <w:tcW w:w="2604"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正常时（任意30min内）</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blHeader/>
        </w:trPr>
        <w:tc>
          <w:tcPr>
            <w:tcW w:w="666" w:type="dxa"/>
            <w:vMerge w:val="continue"/>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1703" w:type="dxa"/>
            <w:gridSpan w:val="2"/>
            <w:vMerge w:val="continue"/>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2604"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电力系统故障（10s内）</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Merge w:val="restart"/>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16</w:t>
            </w:r>
          </w:p>
        </w:tc>
        <w:tc>
          <w:tcPr>
            <w:tcW w:w="1703" w:type="dxa"/>
            <w:gridSpan w:val="2"/>
            <w:vMerge w:val="restart"/>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网络负荷率</w:t>
            </w:r>
          </w:p>
        </w:tc>
        <w:tc>
          <w:tcPr>
            <w:tcW w:w="2604"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正常时（任意30min内）</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Merge w:val="continue"/>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1703" w:type="dxa"/>
            <w:gridSpan w:val="2"/>
            <w:vMerge w:val="continue"/>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2604"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电力系统故障（10s内）</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17</w:t>
            </w:r>
          </w:p>
        </w:tc>
        <w:tc>
          <w:tcPr>
            <w:tcW w:w="4307" w:type="dxa"/>
            <w:gridSpan w:val="3"/>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模数转换分辨率*</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bit</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18</w:t>
            </w:r>
          </w:p>
        </w:tc>
        <w:tc>
          <w:tcPr>
            <w:tcW w:w="4307" w:type="dxa"/>
            <w:gridSpan w:val="3"/>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双机自动切换至功能恢复时间*</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s</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Merge w:val="restart"/>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19</w:t>
            </w:r>
          </w:p>
        </w:tc>
        <w:tc>
          <w:tcPr>
            <w:tcW w:w="1703" w:type="dxa"/>
            <w:gridSpan w:val="2"/>
            <w:vMerge w:val="restart"/>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实时数据库</w:t>
            </w:r>
          </w:p>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容量*</w:t>
            </w:r>
          </w:p>
        </w:tc>
        <w:tc>
          <w:tcPr>
            <w:tcW w:w="2604"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模拟量</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点</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Merge w:val="continue"/>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1703" w:type="dxa"/>
            <w:gridSpan w:val="2"/>
            <w:vMerge w:val="continue"/>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2604"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状态量</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点</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Merge w:val="continue"/>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1703" w:type="dxa"/>
            <w:gridSpan w:val="2"/>
            <w:vMerge w:val="continue"/>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2604"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遥控</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点</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Merge w:val="continue"/>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1703" w:type="dxa"/>
            <w:gridSpan w:val="2"/>
            <w:vMerge w:val="continue"/>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2604"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计算量</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点</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Merge w:val="restart"/>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20</w:t>
            </w:r>
          </w:p>
        </w:tc>
        <w:tc>
          <w:tcPr>
            <w:tcW w:w="1703" w:type="dxa"/>
            <w:gridSpan w:val="2"/>
            <w:vMerge w:val="restart"/>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历史数据库</w:t>
            </w:r>
          </w:p>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存储容量*</w:t>
            </w:r>
          </w:p>
        </w:tc>
        <w:tc>
          <w:tcPr>
            <w:tcW w:w="2604"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历史曲线采样间隔</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min</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1～30，可调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Merge w:val="continue"/>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1703" w:type="dxa"/>
            <w:gridSpan w:val="2"/>
            <w:vMerge w:val="continue"/>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2604"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历史趋势曲线，日报，月报，年报存储时间</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a</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6" w:type="dxa"/>
            <w:vMerge w:val="continue"/>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1703" w:type="dxa"/>
            <w:gridSpan w:val="2"/>
            <w:vMerge w:val="continue"/>
            <w:vAlign w:val="center"/>
          </w:tcPr>
          <w:p>
            <w:pPr>
              <w:topLinePunct/>
              <w:snapToGrid w:val="0"/>
              <w:spacing w:before="48" w:after="48" w:line="360" w:lineRule="auto"/>
              <w:ind w:left="-57" w:right="-57"/>
              <w:jc w:val="center"/>
              <w:rPr>
                <w:rFonts w:hint="eastAsia" w:ascii="宋体" w:hAnsi="宋体" w:cs="宋体"/>
                <w:color w:val="auto"/>
                <w:szCs w:val="21"/>
                <w:highlight w:val="none"/>
              </w:rPr>
            </w:pPr>
          </w:p>
        </w:tc>
        <w:tc>
          <w:tcPr>
            <w:tcW w:w="2604"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历史趋势曲线数量</w:t>
            </w:r>
          </w:p>
        </w:tc>
        <w:tc>
          <w:tcPr>
            <w:tcW w:w="871"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条</w:t>
            </w:r>
          </w:p>
        </w:tc>
        <w:tc>
          <w:tcPr>
            <w:tcW w:w="3329" w:type="dxa"/>
            <w:vAlign w:val="center"/>
          </w:tcPr>
          <w:p>
            <w:pPr>
              <w:topLinePunct/>
              <w:snapToGrid w:val="0"/>
              <w:spacing w:before="48" w:after="48" w:line="360" w:lineRule="auto"/>
              <w:ind w:left="-57" w:right="-57"/>
              <w:jc w:val="center"/>
              <w:rPr>
                <w:rFonts w:hint="eastAsia" w:ascii="宋体" w:hAnsi="宋体" w:cs="宋体"/>
                <w:color w:val="auto"/>
                <w:szCs w:val="21"/>
                <w:highlight w:val="none"/>
              </w:rPr>
            </w:pPr>
            <w:r>
              <w:rPr>
                <w:rFonts w:hint="eastAsia" w:ascii="宋体" w:hAnsi="宋体" w:cs="宋体"/>
                <w:color w:val="auto"/>
                <w:szCs w:val="21"/>
                <w:highlight w:val="none"/>
              </w:rPr>
              <w:t>≥300</w:t>
            </w:r>
          </w:p>
        </w:tc>
      </w:tr>
    </w:tbl>
    <w:p>
      <w:pPr>
        <w:overflowPunct w:val="0"/>
        <w:topLinePunct/>
        <w:snapToGrid w:val="0"/>
        <w:spacing w:line="360" w:lineRule="auto"/>
        <w:rPr>
          <w:rFonts w:hint="eastAsia" w:ascii="宋体" w:hAnsi="宋体" w:cs="宋体"/>
          <w:color w:val="auto"/>
          <w:szCs w:val="21"/>
          <w:highlight w:val="none"/>
        </w:rPr>
      </w:pP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1.2.2</w:t>
      </w:r>
      <w:r>
        <w:rPr>
          <w:rFonts w:hint="eastAsia" w:ascii="宋体" w:hAnsi="宋体" w:cs="宋体"/>
          <w:color w:val="auto"/>
          <w:szCs w:val="21"/>
          <w:highlight w:val="none"/>
        </w:rPr>
        <w:t>接地与隔离要求</w:t>
      </w:r>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计算机监控系统不设置单独的接地网，接地线与变电站主接地网连接。系统的机箱、机柜及电缆屏蔽层均应可靠接地。计算机监控系统各间隔之间，间隔层与站控层之间的连接，以及设备通信口之间的连接应有隔离措施。</w:t>
      </w:r>
    </w:p>
    <w:p>
      <w:pPr>
        <w:overflowPunct w:val="0"/>
        <w:topLinePunct/>
        <w:snapToGrid w:val="0"/>
        <w:spacing w:line="360" w:lineRule="auto"/>
        <w:ind w:firstLine="420" w:firstLineChars="200"/>
        <w:rPr>
          <w:rStyle w:val="27"/>
          <w:rFonts w:hint="eastAsia" w:ascii="宋体" w:hAnsi="宋体" w:eastAsia="宋体" w:cs="宋体"/>
          <w:color w:val="auto"/>
          <w:highlight w:val="none"/>
        </w:rPr>
      </w:pPr>
      <w:r>
        <w:rPr>
          <w:rStyle w:val="27"/>
          <w:rFonts w:hint="eastAsia" w:ascii="宋体" w:hAnsi="宋体" w:eastAsia="宋体" w:cs="宋体"/>
          <w:color w:val="auto"/>
          <w:highlight w:val="none"/>
        </w:rPr>
        <w:t>1.2.3电磁兼容性要求</w:t>
      </w:r>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在雷击过电压、一次回路操作、开关场故障及其他强干扰作用下，计算机监控系统间隔层装置不应误动作且满足技术指标要求。监控系统间隔层装置不应要求其交、直流输入回路外接抗干扰元件来满足有关电磁兼容标准的要求。监控系统间隔层装置的电磁兼容性能应达到表1的等级要求。</w:t>
      </w:r>
    </w:p>
    <w:p>
      <w:pPr>
        <w:pStyle w:val="25"/>
        <w:spacing w:before="0" w:after="0" w:line="360" w:lineRule="auto"/>
        <w:rPr>
          <w:rFonts w:hint="eastAsia" w:ascii="宋体" w:hAnsi="宋体" w:eastAsia="宋体" w:cs="宋体"/>
          <w:color w:val="auto"/>
          <w:highlight w:val="none"/>
        </w:rPr>
      </w:pPr>
      <w:r>
        <w:rPr>
          <w:rFonts w:hint="eastAsia" w:ascii="宋体" w:hAnsi="宋体" w:eastAsia="宋体" w:cs="宋体"/>
          <w:color w:val="auto"/>
          <w:highlight w:val="none"/>
        </w:rPr>
        <w:t>表1  计算机监控系统间隔层装置的电磁兼容性能等级要求</w:t>
      </w:r>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43" w:type="dxa"/>
          <w:bottom w:w="0" w:type="dxa"/>
          <w:right w:w="43" w:type="dxa"/>
        </w:tblCellMar>
      </w:tblPr>
      <w:tblGrid>
        <w:gridCol w:w="445"/>
        <w:gridCol w:w="3915"/>
        <w:gridCol w:w="1978"/>
        <w:gridCol w:w="198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jc w:val="center"/>
        </w:trPr>
        <w:tc>
          <w:tcPr>
            <w:tcW w:w="44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序号</w:t>
            </w:r>
          </w:p>
        </w:tc>
        <w:tc>
          <w:tcPr>
            <w:tcW w:w="391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电磁干扰项目</w:t>
            </w:r>
          </w:p>
        </w:tc>
        <w:tc>
          <w:tcPr>
            <w:tcW w:w="197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依据的标准</w:t>
            </w:r>
          </w:p>
        </w:tc>
        <w:tc>
          <w:tcPr>
            <w:tcW w:w="198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等级要求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jc w:val="center"/>
        </w:trPr>
        <w:tc>
          <w:tcPr>
            <w:tcW w:w="44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1</w:t>
            </w:r>
          </w:p>
        </w:tc>
        <w:tc>
          <w:tcPr>
            <w:tcW w:w="391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静电放电抗扰度</w:t>
            </w:r>
          </w:p>
        </w:tc>
        <w:tc>
          <w:tcPr>
            <w:tcW w:w="197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17626.2</w:t>
            </w:r>
          </w:p>
        </w:tc>
        <w:tc>
          <w:tcPr>
            <w:tcW w:w="198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4级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jc w:val="center"/>
        </w:trPr>
        <w:tc>
          <w:tcPr>
            <w:tcW w:w="44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2</w:t>
            </w:r>
          </w:p>
        </w:tc>
        <w:tc>
          <w:tcPr>
            <w:tcW w:w="391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辐射电磁场抗扰度</w:t>
            </w:r>
          </w:p>
        </w:tc>
        <w:tc>
          <w:tcPr>
            <w:tcW w:w="197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14598.9</w:t>
            </w:r>
          </w:p>
        </w:tc>
        <w:tc>
          <w:tcPr>
            <w:tcW w:w="198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3级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jc w:val="center"/>
        </w:trPr>
        <w:tc>
          <w:tcPr>
            <w:tcW w:w="44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3</w:t>
            </w:r>
          </w:p>
        </w:tc>
        <w:tc>
          <w:tcPr>
            <w:tcW w:w="391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快速瞬变抗扰度</w:t>
            </w:r>
          </w:p>
        </w:tc>
        <w:tc>
          <w:tcPr>
            <w:tcW w:w="197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17626.5</w:t>
            </w:r>
          </w:p>
        </w:tc>
        <w:tc>
          <w:tcPr>
            <w:tcW w:w="198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4级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jc w:val="center"/>
        </w:trPr>
        <w:tc>
          <w:tcPr>
            <w:tcW w:w="44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4</w:t>
            </w:r>
          </w:p>
        </w:tc>
        <w:tc>
          <w:tcPr>
            <w:tcW w:w="391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浪涌（冲击）抗扰度</w:t>
            </w:r>
          </w:p>
        </w:tc>
        <w:tc>
          <w:tcPr>
            <w:tcW w:w="197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17626.4</w:t>
            </w:r>
          </w:p>
        </w:tc>
        <w:tc>
          <w:tcPr>
            <w:tcW w:w="198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3级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jc w:val="center"/>
        </w:trPr>
        <w:tc>
          <w:tcPr>
            <w:tcW w:w="44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5</w:t>
            </w:r>
          </w:p>
        </w:tc>
        <w:tc>
          <w:tcPr>
            <w:tcW w:w="391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射频场感应的传导骚扰抗扰度</w:t>
            </w:r>
          </w:p>
        </w:tc>
        <w:tc>
          <w:tcPr>
            <w:tcW w:w="197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17626.6</w:t>
            </w:r>
          </w:p>
        </w:tc>
        <w:tc>
          <w:tcPr>
            <w:tcW w:w="198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3级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06" w:hRule="atLeast"/>
          <w:jc w:val="center"/>
        </w:trPr>
        <w:tc>
          <w:tcPr>
            <w:tcW w:w="44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6</w:t>
            </w:r>
          </w:p>
        </w:tc>
        <w:tc>
          <w:tcPr>
            <w:tcW w:w="391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工频磁场抗扰度</w:t>
            </w:r>
          </w:p>
        </w:tc>
        <w:tc>
          <w:tcPr>
            <w:tcW w:w="197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17626.8</w:t>
            </w:r>
          </w:p>
        </w:tc>
        <w:tc>
          <w:tcPr>
            <w:tcW w:w="198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4级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06" w:hRule="atLeast"/>
          <w:jc w:val="center"/>
        </w:trPr>
        <w:tc>
          <w:tcPr>
            <w:tcW w:w="44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7</w:t>
            </w:r>
          </w:p>
        </w:tc>
        <w:tc>
          <w:tcPr>
            <w:tcW w:w="391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1MHz脉冲群抗扰度试验</w:t>
            </w:r>
          </w:p>
        </w:tc>
        <w:tc>
          <w:tcPr>
            <w:tcW w:w="197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14598.13</w:t>
            </w:r>
          </w:p>
        </w:tc>
        <w:tc>
          <w:tcPr>
            <w:tcW w:w="198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3级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06" w:hRule="atLeast"/>
          <w:jc w:val="center"/>
        </w:trPr>
        <w:tc>
          <w:tcPr>
            <w:tcW w:w="44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8</w:t>
            </w:r>
          </w:p>
        </w:tc>
        <w:tc>
          <w:tcPr>
            <w:tcW w:w="391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阻尼震荡磁场抗扰度</w:t>
            </w:r>
          </w:p>
        </w:tc>
        <w:tc>
          <w:tcPr>
            <w:tcW w:w="197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17626.10</w:t>
            </w:r>
          </w:p>
        </w:tc>
        <w:tc>
          <w:tcPr>
            <w:tcW w:w="198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5级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06" w:hRule="atLeast"/>
          <w:jc w:val="center"/>
        </w:trPr>
        <w:tc>
          <w:tcPr>
            <w:tcW w:w="44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9</w:t>
            </w:r>
          </w:p>
        </w:tc>
        <w:tc>
          <w:tcPr>
            <w:tcW w:w="3915"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振荡波抗扰度</w:t>
            </w:r>
          </w:p>
        </w:tc>
        <w:tc>
          <w:tcPr>
            <w:tcW w:w="197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17626.12</w:t>
            </w:r>
          </w:p>
        </w:tc>
        <w:tc>
          <w:tcPr>
            <w:tcW w:w="1988"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2级（信号端口）</w:t>
            </w:r>
          </w:p>
        </w:tc>
      </w:tr>
    </w:tbl>
    <w:p>
      <w:pPr>
        <w:overflowPunct w:val="0"/>
        <w:topLinePunct/>
        <w:snapToGrid w:val="0"/>
        <w:spacing w:line="360" w:lineRule="auto"/>
        <w:ind w:firstLine="420" w:firstLineChars="200"/>
        <w:rPr>
          <w:rStyle w:val="27"/>
          <w:rFonts w:hint="eastAsia" w:ascii="宋体" w:hAnsi="宋体" w:eastAsia="宋体" w:cs="宋体"/>
          <w:color w:val="auto"/>
          <w:highlight w:val="none"/>
        </w:rPr>
      </w:pPr>
      <w:r>
        <w:rPr>
          <w:rStyle w:val="27"/>
          <w:rFonts w:hint="eastAsia" w:ascii="宋体" w:hAnsi="宋体" w:eastAsia="宋体" w:cs="宋体"/>
          <w:color w:val="auto"/>
          <w:highlight w:val="none"/>
        </w:rPr>
        <w:t>1.2.4标准和规范</w:t>
      </w:r>
    </w:p>
    <w:p>
      <w:pPr>
        <w:overflowPunct w:val="0"/>
        <w:topLinePunct/>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计算机监控系统应遵照最新版本的电力行业标准（DL）、国家标准（GB）和IEC标准及国际单位制（SI），这是对设备的最低要求。表2为计算机监控系统设计遵循的主要标准。</w:t>
      </w:r>
    </w:p>
    <w:p>
      <w:pPr>
        <w:pStyle w:val="25"/>
        <w:spacing w:before="0" w:after="0" w:line="360" w:lineRule="auto"/>
        <w:rPr>
          <w:rFonts w:hint="eastAsia" w:ascii="宋体" w:hAnsi="宋体" w:eastAsia="宋体" w:cs="宋体"/>
          <w:color w:val="auto"/>
          <w:highlight w:val="none"/>
        </w:rPr>
      </w:pPr>
      <w:r>
        <w:rPr>
          <w:rFonts w:hint="eastAsia" w:ascii="宋体" w:hAnsi="宋体" w:eastAsia="宋体" w:cs="宋体"/>
          <w:color w:val="auto"/>
          <w:highlight w:val="none"/>
        </w:rPr>
        <w:t>表2  计算机监控系统设计遵循的主要标准</w:t>
      </w:r>
    </w:p>
    <w:tbl>
      <w:tblPr>
        <w:tblStyle w:val="15"/>
        <w:tblW w:w="0" w:type="auto"/>
        <w:tblInd w:w="19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43" w:type="dxa"/>
          <w:bottom w:w="0" w:type="dxa"/>
          <w:right w:w="43" w:type="dxa"/>
        </w:tblCellMar>
      </w:tblPr>
      <w:tblGrid>
        <w:gridCol w:w="1800"/>
        <w:gridCol w:w="684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标   准   号</w:t>
            </w:r>
          </w:p>
        </w:tc>
        <w:tc>
          <w:tcPr>
            <w:tcW w:w="684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标  准  名  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 4208</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外壳防护等级（IP代码）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191</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包装储运图示标志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2423</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电工电子产品环境试验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2887</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电子计算机场地通用规范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6593</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电子测量仪器质量检测规则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7261</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继电器及装置基本试验方法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9813</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微型计算机通用规范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11287</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电气继电器第21部分：量度继电器和保护装置的振动、冲击、碰撞和地震试验 第1篇：振动试验（正弦）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13729</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远动终端设备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13730</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地区电网调度自动化系统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14285</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继电保护和安全自动装置技术规程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14429</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远动设备及第1-3部分：总则术语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14537</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量度继电器和保护装置的冲击和碰撞试验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14598.3</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电气继电器第5部分：量度继电器和保护装置的绝缘配合要求和试验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14598.9</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电气继电器第22-3部分：量度继电器和保护装置的电气骚扰试验  辐射电磁场骚扰试验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23"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14598.10</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电气继电器第22-4部分：量度继电器和保护装置的电气骚扰试验-电快速瞬变/脉冲群抗扰度试验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14598.13</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量度继电器和保护装置的电气干扰试验第1部分：1MHz 脉冲群抗扰度试验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14598.14</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量度继电器和保护装置的电气干扰试验第2部分：静电放电试验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14598.17</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电气继电器第22-6部分：量度继电器和保护装置的电气骚扰试验-射频场感应的传导骚扰的抗扰度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14598.18</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电气继电器第22-5部分：量度继电器和保护装置的电气骚扰试验-浪涌抗扰度试验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14598.19</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电气继电器第22-7部分：量度继电器和保护装置的电气骚扰试验-工频抗扰度试验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15153.1</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远动设备及系统第2部分：工作条件  第1篇：电源和电磁兼容性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15153.2</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远动设备及系统第2部分：工作条件  第2篇：环境条件（气候、机械和其他非电影响因素）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15532</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计算机软件测试规范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16435.1</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远动设备及系统接口（电气特性）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GB/T 17463</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远动设备及系统第4部分：性能要求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451</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循环式远动规约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478</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静态继电保护及安全自动装置通用技术条件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621</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交流电气装置的接地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630</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交流采样远动终端技术条件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634.5101</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远动设备及系统第5-101部分：传输规约基本远动任务配套标准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634.5104</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远动设备及系统第5-104部分：传输规约采用标准传输协议子集的IEC 60870-5-104网络访问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667</w:t>
            </w:r>
          </w:p>
        </w:tc>
        <w:tc>
          <w:tcPr>
            <w:tcW w:w="6840" w:type="dxa"/>
            <w:tcMar>
              <w:left w:w="0" w:type="dxa"/>
              <w:right w:w="0" w:type="dxa"/>
            </w:tcMar>
            <w:vAlign w:val="center"/>
          </w:tcPr>
          <w:p>
            <w:pPr>
              <w:overflowPunct w:val="0"/>
              <w:topLinePunct/>
              <w:snapToGrid w:val="0"/>
              <w:spacing w:line="360" w:lineRule="auto"/>
              <w:ind w:left="252" w:leftChars="120" w:right="42" w:rightChars="20"/>
              <w:rPr>
                <w:rFonts w:hint="eastAsia" w:ascii="宋体" w:hAnsi="宋体" w:cs="宋体"/>
                <w:color w:val="auto"/>
                <w:szCs w:val="21"/>
                <w:highlight w:val="none"/>
              </w:rPr>
            </w:pPr>
            <w:r>
              <w:rPr>
                <w:rFonts w:hint="eastAsia" w:ascii="宋体" w:hAnsi="宋体" w:cs="宋体"/>
                <w:color w:val="auto"/>
                <w:szCs w:val="21"/>
                <w:highlight w:val="none"/>
              </w:rPr>
              <w:t>远动设备及系统第5部分传输规约  第103篇继电保护设备信息接口配套标准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720</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电力系统继电保护柜、屏通用技术条件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5136</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火力发电厂、变电站二次线设计技术规程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DL/T 5137</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电测量及电能计量装置设计技术规程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Q/GDW 140</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交流采样测量装置运行检验管理规程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Q/GDW 213</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变电站计算机监控系统工厂验收管理规程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43" w:type="dxa"/>
            <w:bottom w:w="0" w:type="dxa"/>
            <w:right w:w="43" w:type="dxa"/>
          </w:tblCellMar>
        </w:tblPrEx>
        <w:trPr>
          <w:trHeight w:val="312" w:hRule="atLeast"/>
        </w:trPr>
        <w:tc>
          <w:tcPr>
            <w:tcW w:w="1800" w:type="dxa"/>
            <w:tcMar>
              <w:left w:w="0" w:type="dxa"/>
              <w:right w:w="0" w:type="dxa"/>
            </w:tcMar>
            <w:vAlign w:val="center"/>
          </w:tcPr>
          <w:p>
            <w:pPr>
              <w:overflowPunct w:val="0"/>
              <w:topLinePunct/>
              <w:snapToGrid w:val="0"/>
              <w:spacing w:line="360" w:lineRule="auto"/>
              <w:jc w:val="center"/>
              <w:rPr>
                <w:rFonts w:hint="eastAsia" w:ascii="宋体" w:hAnsi="宋体" w:cs="宋体"/>
                <w:color w:val="auto"/>
                <w:szCs w:val="21"/>
                <w:highlight w:val="none"/>
              </w:rPr>
            </w:pPr>
            <w:r>
              <w:rPr>
                <w:rFonts w:hint="eastAsia" w:ascii="宋体" w:hAnsi="宋体" w:cs="宋体"/>
                <w:color w:val="auto"/>
                <w:szCs w:val="21"/>
                <w:highlight w:val="none"/>
              </w:rPr>
              <w:t>Q/GDW 214</w:t>
            </w:r>
          </w:p>
        </w:tc>
        <w:tc>
          <w:tcPr>
            <w:tcW w:w="6840" w:type="dxa"/>
            <w:tcMar>
              <w:left w:w="0" w:type="dxa"/>
              <w:right w:w="0" w:type="dxa"/>
            </w:tcMar>
            <w:vAlign w:val="center"/>
          </w:tcPr>
          <w:p>
            <w:pPr>
              <w:overflowPunct w:val="0"/>
              <w:topLinePunct/>
              <w:snapToGrid w:val="0"/>
              <w:spacing w:line="360" w:lineRule="auto"/>
              <w:ind w:left="42" w:leftChars="20" w:right="42" w:rightChars="20" w:firstLine="210" w:firstLineChars="100"/>
              <w:rPr>
                <w:rFonts w:hint="eastAsia" w:ascii="宋体" w:hAnsi="宋体" w:cs="宋体"/>
                <w:color w:val="auto"/>
                <w:szCs w:val="21"/>
                <w:highlight w:val="none"/>
              </w:rPr>
            </w:pPr>
            <w:r>
              <w:rPr>
                <w:rFonts w:hint="eastAsia" w:ascii="宋体" w:hAnsi="宋体" w:cs="宋体"/>
                <w:color w:val="auto"/>
                <w:szCs w:val="21"/>
                <w:highlight w:val="none"/>
              </w:rPr>
              <w:t>变电站计算机监控系统现场验收管理规程</w:t>
            </w:r>
          </w:p>
        </w:tc>
      </w:tr>
    </w:tbl>
    <w:p>
      <w:pPr>
        <w:overflowPunct w:val="0"/>
        <w:topLinePunct/>
        <w:snapToGrid w:val="0"/>
        <w:spacing w:line="360" w:lineRule="auto"/>
        <w:ind w:firstLine="420" w:firstLineChars="200"/>
        <w:rPr>
          <w:rStyle w:val="27"/>
          <w:rFonts w:hint="eastAsia" w:ascii="宋体" w:hAnsi="宋体" w:eastAsia="宋体" w:cs="宋体"/>
          <w:color w:val="auto"/>
          <w:highlight w:val="none"/>
        </w:rPr>
      </w:pPr>
      <w:bookmarkStart w:id="103" w:name="_Toc256459649"/>
      <w:bookmarkStart w:id="104" w:name="_Toc251427269"/>
    </w:p>
    <w:bookmarkEnd w:id="103"/>
    <w:bookmarkEnd w:id="104"/>
    <w:p>
      <w:pPr>
        <w:pStyle w:val="22"/>
        <w:spacing w:line="360" w:lineRule="auto"/>
        <w:ind w:firstLine="420" w:firstLineChars="200"/>
        <w:rPr>
          <w:rFonts w:ascii="宋体" w:hAnsi="宋体" w:eastAsia="宋体"/>
          <w:color w:val="auto"/>
          <w:highlight w:val="none"/>
        </w:rPr>
      </w:pPr>
      <w:bookmarkStart w:id="105" w:name="_Toc256459650"/>
      <w:bookmarkStart w:id="106" w:name="_Toc251427270"/>
      <w:r>
        <w:rPr>
          <w:rFonts w:hint="eastAsia" w:ascii="宋体" w:hAnsi="宋体" w:eastAsia="宋体"/>
          <w:color w:val="auto"/>
          <w:highlight w:val="none"/>
        </w:rPr>
        <w:t>1.</w:t>
      </w:r>
      <w:r>
        <w:rPr>
          <w:rFonts w:ascii="宋体" w:hAnsi="宋体" w:eastAsia="宋体"/>
          <w:color w:val="auto"/>
          <w:highlight w:val="none"/>
        </w:rPr>
        <w:t>2.</w:t>
      </w:r>
      <w:r>
        <w:rPr>
          <w:rFonts w:hint="eastAsia" w:ascii="宋体" w:hAnsi="宋体" w:eastAsia="宋体"/>
          <w:color w:val="auto"/>
          <w:highlight w:val="none"/>
        </w:rPr>
        <w:t>5　</w:t>
      </w:r>
      <w:r>
        <w:rPr>
          <w:rFonts w:ascii="宋体" w:hAnsi="宋体" w:eastAsia="宋体"/>
          <w:color w:val="auto"/>
          <w:highlight w:val="none"/>
        </w:rPr>
        <w:t>技术性能要求</w:t>
      </w:r>
    </w:p>
    <w:p>
      <w:pPr>
        <w:overflowPunct w:val="0"/>
        <w:topLinePunct/>
        <w:spacing w:line="360" w:lineRule="auto"/>
        <w:ind w:firstLine="420" w:firstLineChars="200"/>
        <w:rPr>
          <w:rFonts w:hint="eastAsia" w:ascii="宋体" w:hAnsi="宋体"/>
          <w:color w:val="auto"/>
          <w:szCs w:val="21"/>
          <w:highlight w:val="none"/>
        </w:rPr>
      </w:pPr>
      <w:r>
        <w:rPr>
          <w:rFonts w:ascii="宋体" w:hAnsi="宋体"/>
          <w:color w:val="auto"/>
          <w:szCs w:val="21"/>
          <w:highlight w:val="none"/>
        </w:rPr>
        <w:t>变电站计算机监控系统的设备配置和功能要求应满足无人值班设计要求，应采用站控层与间隔层两层体系架构，其信息交换应遵循</w:t>
      </w:r>
      <w:r>
        <w:rPr>
          <w:rFonts w:hint="eastAsia" w:ascii="宋体" w:hAnsi="宋体"/>
          <w:color w:val="auto"/>
          <w:szCs w:val="21"/>
          <w:highlight w:val="none"/>
        </w:rPr>
        <w:t>IEC61850</w:t>
      </w:r>
      <w:r>
        <w:rPr>
          <w:rFonts w:ascii="宋体" w:hAnsi="宋体"/>
          <w:color w:val="auto"/>
          <w:szCs w:val="21"/>
          <w:highlight w:val="none"/>
        </w:rPr>
        <w:t>系列标准。</w:t>
      </w:r>
    </w:p>
    <w:p>
      <w:pPr>
        <w:overflowPunct w:val="0"/>
        <w:topLinePunct/>
        <w:snapToGrid w:val="0"/>
        <w:spacing w:line="360" w:lineRule="auto"/>
        <w:ind w:firstLine="420" w:firstLineChars="200"/>
        <w:rPr>
          <w:rFonts w:ascii="宋体" w:hAnsi="宋体"/>
          <w:color w:val="auto"/>
          <w:szCs w:val="21"/>
          <w:highlight w:val="none"/>
        </w:rPr>
      </w:pPr>
      <w:r>
        <w:rPr>
          <w:rStyle w:val="27"/>
          <w:rFonts w:hint="eastAsia" w:ascii="宋体" w:hAnsi="宋体" w:eastAsia="宋体"/>
          <w:color w:val="auto"/>
          <w:highlight w:val="none"/>
        </w:rPr>
        <w:t>1.</w:t>
      </w:r>
      <w:r>
        <w:rPr>
          <w:rStyle w:val="27"/>
          <w:rFonts w:ascii="宋体" w:hAnsi="宋体" w:eastAsia="宋体"/>
          <w:color w:val="auto"/>
          <w:highlight w:val="none"/>
        </w:rPr>
        <w:t>2.</w:t>
      </w:r>
      <w:r>
        <w:rPr>
          <w:rStyle w:val="27"/>
          <w:rFonts w:hint="eastAsia" w:ascii="宋体" w:hAnsi="宋体" w:eastAsia="宋体"/>
          <w:color w:val="auto"/>
          <w:highlight w:val="none"/>
        </w:rPr>
        <w:t>5</w:t>
      </w:r>
      <w:r>
        <w:rPr>
          <w:rStyle w:val="27"/>
          <w:rFonts w:ascii="宋体" w:hAnsi="宋体" w:eastAsia="宋体"/>
          <w:color w:val="auto"/>
          <w:highlight w:val="none"/>
        </w:rPr>
        <w:t>.1</w:t>
      </w:r>
      <w:r>
        <w:rPr>
          <w:rFonts w:hint="eastAsia" w:ascii="宋体" w:hAnsi="宋体"/>
          <w:color w:val="auto"/>
          <w:szCs w:val="21"/>
          <w:highlight w:val="none"/>
        </w:rPr>
        <w:t>　计算机监控系统配置</w:t>
      </w:r>
    </w:p>
    <w:p>
      <w:pPr>
        <w:overflowPunct w:val="0"/>
        <w:topLinePunct/>
        <w:spacing w:line="360" w:lineRule="auto"/>
        <w:ind w:firstLine="420" w:firstLineChars="200"/>
        <w:rPr>
          <w:rFonts w:ascii="宋体" w:hAnsi="宋体"/>
          <w:color w:val="auto"/>
          <w:szCs w:val="21"/>
          <w:highlight w:val="none"/>
        </w:rPr>
      </w:pPr>
      <w:r>
        <w:rPr>
          <w:rFonts w:ascii="宋体" w:hAnsi="宋体"/>
          <w:color w:val="auto"/>
          <w:szCs w:val="21"/>
          <w:highlight w:val="none"/>
        </w:rPr>
        <w:t>计算机监控系统宜采用分层、分布、开放式网络结构，由站控层、间隔层以及网络设备构成。站控层设备布置在变电站主控制室内，间隔层设备分别布置在相应的</w:t>
      </w:r>
      <w:r>
        <w:rPr>
          <w:rFonts w:hint="eastAsia" w:ascii="宋体" w:hAnsi="宋体"/>
          <w:color w:val="auto"/>
          <w:szCs w:val="21"/>
          <w:highlight w:val="none"/>
        </w:rPr>
        <w:t>开关室</w:t>
      </w:r>
      <w:r>
        <w:rPr>
          <w:rFonts w:ascii="宋体" w:hAnsi="宋体"/>
          <w:color w:val="auto"/>
          <w:szCs w:val="21"/>
          <w:highlight w:val="none"/>
        </w:rPr>
        <w:t>内。</w:t>
      </w:r>
      <w:r>
        <w:rPr>
          <w:rFonts w:hint="eastAsia" w:ascii="宋体" w:hAnsi="宋体"/>
          <w:color w:val="auto"/>
          <w:szCs w:val="21"/>
          <w:highlight w:val="none"/>
        </w:rPr>
        <w:t>站控层和间隔层均采用IEC61850标准通信（以下简称IEC61850），</w:t>
      </w:r>
      <w:r>
        <w:rPr>
          <w:rFonts w:ascii="宋体" w:hAnsi="宋体"/>
          <w:color w:val="auto"/>
          <w:szCs w:val="21"/>
          <w:highlight w:val="none"/>
        </w:rPr>
        <w:t>计算机监控系统安全防护应满足电力二次系统安全防护总体方案的要求。</w:t>
      </w:r>
    </w:p>
    <w:p>
      <w:pPr>
        <w:overflowPunct w:val="0"/>
        <w:topLinePunct/>
        <w:spacing w:line="360" w:lineRule="auto"/>
        <w:ind w:firstLine="420" w:firstLineChars="200"/>
        <w:rPr>
          <w:rFonts w:ascii="宋体" w:hAnsi="宋体"/>
          <w:color w:val="auto"/>
          <w:szCs w:val="21"/>
          <w:highlight w:val="none"/>
        </w:rPr>
      </w:pPr>
      <w:r>
        <w:rPr>
          <w:rFonts w:hint="eastAsia" w:ascii="宋体" w:hAnsi="宋体"/>
          <w:color w:val="auto"/>
          <w:szCs w:val="21"/>
          <w:highlight w:val="none"/>
        </w:rPr>
        <w:t>计算机监控系统软件要求为国内一线监控系统软件，如许继电气、南瑞继保、国电南自或同等档次品牌。</w:t>
      </w:r>
    </w:p>
    <w:p>
      <w:pPr>
        <w:overflowPunct w:val="0"/>
        <w:topLinePunct/>
        <w:snapToGrid w:val="0"/>
        <w:spacing w:line="360" w:lineRule="auto"/>
        <w:ind w:firstLine="420" w:firstLineChars="200"/>
        <w:rPr>
          <w:rFonts w:ascii="宋体" w:hAnsi="宋体"/>
          <w:color w:val="auto"/>
          <w:szCs w:val="21"/>
          <w:highlight w:val="none"/>
        </w:rPr>
      </w:pPr>
      <w:r>
        <w:rPr>
          <w:rStyle w:val="27"/>
          <w:rFonts w:hint="eastAsia" w:ascii="宋体" w:hAnsi="宋体" w:eastAsia="宋体"/>
          <w:color w:val="auto"/>
          <w:highlight w:val="none"/>
        </w:rPr>
        <w:t>1.</w:t>
      </w:r>
      <w:r>
        <w:rPr>
          <w:rStyle w:val="27"/>
          <w:rFonts w:ascii="宋体" w:hAnsi="宋体" w:eastAsia="宋体"/>
          <w:color w:val="auto"/>
          <w:highlight w:val="none"/>
        </w:rPr>
        <w:t>2.</w:t>
      </w:r>
      <w:r>
        <w:rPr>
          <w:rStyle w:val="27"/>
          <w:rFonts w:hint="eastAsia" w:ascii="宋体" w:hAnsi="宋体" w:eastAsia="宋体"/>
          <w:color w:val="auto"/>
          <w:highlight w:val="none"/>
        </w:rPr>
        <w:t>5</w:t>
      </w:r>
      <w:r>
        <w:rPr>
          <w:rStyle w:val="27"/>
          <w:rFonts w:ascii="宋体" w:hAnsi="宋体" w:eastAsia="宋体"/>
          <w:color w:val="auto"/>
          <w:highlight w:val="none"/>
        </w:rPr>
        <w:t>.1.1</w:t>
      </w:r>
      <w:r>
        <w:rPr>
          <w:rFonts w:ascii="宋体" w:hAnsi="宋体"/>
          <w:color w:val="auto"/>
          <w:szCs w:val="21"/>
          <w:highlight w:val="none"/>
        </w:rPr>
        <w:t xml:space="preserve"> </w:t>
      </w:r>
      <w:r>
        <w:rPr>
          <w:rFonts w:hint="eastAsia" w:ascii="宋体" w:hAnsi="宋体"/>
          <w:color w:val="auto"/>
          <w:szCs w:val="21"/>
          <w:highlight w:val="none"/>
        </w:rPr>
        <w:t xml:space="preserve"> 系统设备配置</w:t>
      </w:r>
    </w:p>
    <w:p>
      <w:pPr>
        <w:overflowPunct w:val="0"/>
        <w:topLinePunct/>
        <w:spacing w:line="360" w:lineRule="auto"/>
        <w:ind w:firstLine="420" w:firstLineChars="200"/>
        <w:rPr>
          <w:rFonts w:hint="eastAsia"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rPr>
        <w:t xml:space="preserve"> </w:t>
      </w:r>
      <w:r>
        <w:rPr>
          <w:rFonts w:ascii="宋体" w:hAnsi="宋体"/>
          <w:color w:val="auto"/>
          <w:szCs w:val="21"/>
          <w:highlight w:val="none"/>
        </w:rPr>
        <w:t>站控层设备</w:t>
      </w:r>
      <w:r>
        <w:rPr>
          <w:rFonts w:hint="eastAsia" w:ascii="宋体" w:hAnsi="宋体"/>
          <w:color w:val="auto"/>
          <w:szCs w:val="21"/>
          <w:highlight w:val="none"/>
        </w:rPr>
        <w:t>。</w:t>
      </w:r>
    </w:p>
    <w:p>
      <w:pPr>
        <w:autoSpaceDE w:val="0"/>
        <w:autoSpaceDN w:val="0"/>
        <w:adjustRightInd w:val="0"/>
        <w:spacing w:line="360" w:lineRule="auto"/>
        <w:ind w:left="420" w:firstLine="420" w:firstLineChars="200"/>
        <w:rPr>
          <w:rFonts w:hint="eastAsia" w:ascii="宋体" w:hAnsi="宋体" w:cs="宋体-WinCharSetFFFF-H"/>
          <w:color w:val="auto"/>
          <w:kern w:val="0"/>
          <w:szCs w:val="21"/>
          <w:highlight w:val="none"/>
        </w:rPr>
      </w:pPr>
      <w:r>
        <w:rPr>
          <w:rFonts w:hint="eastAsia" w:ascii="宋体" w:hAnsi="宋体"/>
          <w:color w:val="auto"/>
          <w:szCs w:val="21"/>
          <w:highlight w:val="none"/>
        </w:rPr>
        <w:t>a) 监控主机及数据服务器。</w:t>
      </w:r>
      <w:r>
        <w:rPr>
          <w:rFonts w:hint="eastAsia" w:ascii="宋体" w:hAnsi="宋体" w:cs="宋体-WinCharSetFFFF-H"/>
          <w:color w:val="auto"/>
          <w:kern w:val="0"/>
          <w:szCs w:val="21"/>
          <w:highlight w:val="none"/>
        </w:rPr>
        <w:t>负责站内各类数据的采集、处理，实现站内设备的运行监视、操作与控制、信息综合分析及智能告警；负责整个系统的协调和管理，保持实时数据库的最新最完整备份；</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服务器采用DELL、HP等品牌服务器，支持硬盘矩阵RAID1，设备组屏（柜）布置，硬件配置如下：</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CPU 不低于E5-2407</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内存≥8G</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硬盘≥1TB*2，RAID1</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网口≥4个</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b</w:t>
      </w:r>
      <w:r>
        <w:rPr>
          <w:rFonts w:ascii="宋体" w:hAnsi="宋体"/>
          <w:color w:val="auto"/>
          <w:szCs w:val="21"/>
          <w:highlight w:val="none"/>
        </w:rPr>
        <w:t>）</w:t>
      </w:r>
      <w:r>
        <w:rPr>
          <w:rFonts w:hint="eastAsia" w:ascii="宋体" w:hAnsi="宋体"/>
          <w:color w:val="auto"/>
          <w:szCs w:val="21"/>
          <w:highlight w:val="none"/>
        </w:rPr>
        <w:t xml:space="preserve"> 操作员工作站。站内运行监控的主要人机界面，实现对全站一、二次设备的实时监视和操作控制，显示各种图形和数据，并进行人工交互，具有事件记录及报警状态显示和查询、设备状态和参数查询、操作控制等功能。操作员站为操作员提供了所有功能的入口；显示各种画面、表格、告警信息和管理信息；提供遥控、遥调等操作界面。</w:t>
      </w:r>
    </w:p>
    <w:p>
      <w:pPr>
        <w:autoSpaceDE w:val="0"/>
        <w:autoSpaceDN w:val="0"/>
        <w:adjustRightInd w:val="0"/>
        <w:spacing w:line="360" w:lineRule="auto"/>
        <w:ind w:left="420" w:firstLine="420" w:firstLineChars="200"/>
        <w:rPr>
          <w:rFonts w:hint="eastAsia" w:ascii="宋体" w:hAnsi="宋体" w:cs="宋体-WinCharSetFFFF-H"/>
          <w:color w:val="auto"/>
          <w:kern w:val="0"/>
          <w:szCs w:val="21"/>
          <w:highlight w:val="none"/>
        </w:rPr>
      </w:pPr>
      <w:r>
        <w:rPr>
          <w:rFonts w:hint="eastAsia" w:ascii="宋体" w:hAnsi="宋体" w:cs="宋体-WinCharSetFFFF-H"/>
          <w:color w:val="auto"/>
          <w:kern w:val="0"/>
          <w:szCs w:val="21"/>
          <w:highlight w:val="none"/>
        </w:rPr>
        <w:t>操作员工作站采用DELL、HP等品牌电脑，</w:t>
      </w:r>
      <w:r>
        <w:rPr>
          <w:rFonts w:ascii="宋体" w:hAnsi="宋体"/>
          <w:color w:val="auto"/>
          <w:szCs w:val="21"/>
          <w:highlight w:val="none"/>
        </w:rPr>
        <w:t>设备布置</w:t>
      </w:r>
      <w:r>
        <w:rPr>
          <w:rFonts w:hint="eastAsia" w:ascii="宋体" w:hAnsi="宋体"/>
          <w:color w:val="auto"/>
          <w:szCs w:val="21"/>
          <w:highlight w:val="none"/>
        </w:rPr>
        <w:t>在工作台</w:t>
      </w:r>
      <w:r>
        <w:rPr>
          <w:rFonts w:hint="eastAsia" w:ascii="宋体" w:hAnsi="宋体" w:cs="宋体-WinCharSetFFFF-H"/>
          <w:color w:val="auto"/>
          <w:kern w:val="0"/>
          <w:szCs w:val="21"/>
          <w:highlight w:val="none"/>
        </w:rPr>
        <w:t>，硬件配置如下：</w:t>
      </w:r>
    </w:p>
    <w:p>
      <w:pPr>
        <w:autoSpaceDE w:val="0"/>
        <w:autoSpaceDN w:val="0"/>
        <w:adjustRightInd w:val="0"/>
        <w:spacing w:line="360" w:lineRule="auto"/>
        <w:ind w:left="420" w:firstLine="420" w:firstLineChars="200"/>
        <w:rPr>
          <w:rFonts w:hint="eastAsia" w:ascii="宋体" w:hAnsi="宋体" w:cs="宋体-WinCharSetFFFF-H"/>
          <w:color w:val="auto"/>
          <w:kern w:val="0"/>
          <w:szCs w:val="21"/>
          <w:highlight w:val="none"/>
        </w:rPr>
      </w:pPr>
      <w:r>
        <w:rPr>
          <w:rFonts w:hint="eastAsia" w:ascii="宋体" w:hAnsi="宋体" w:cs="宋体-WinCharSetFFFF-H"/>
          <w:color w:val="auto"/>
          <w:kern w:val="0"/>
          <w:szCs w:val="21"/>
          <w:highlight w:val="none"/>
        </w:rPr>
        <w:t>CPU不低于E5-1603</w:t>
      </w:r>
    </w:p>
    <w:p>
      <w:pPr>
        <w:autoSpaceDE w:val="0"/>
        <w:autoSpaceDN w:val="0"/>
        <w:adjustRightInd w:val="0"/>
        <w:spacing w:line="360" w:lineRule="auto"/>
        <w:ind w:left="420" w:firstLine="420" w:firstLineChars="200"/>
        <w:rPr>
          <w:rFonts w:hint="eastAsia" w:ascii="宋体" w:hAnsi="宋体" w:cs="宋体-WinCharSetFFFF-H"/>
          <w:color w:val="auto"/>
          <w:kern w:val="0"/>
          <w:szCs w:val="21"/>
          <w:highlight w:val="none"/>
        </w:rPr>
      </w:pPr>
      <w:r>
        <w:rPr>
          <w:rFonts w:hint="eastAsia" w:ascii="宋体" w:hAnsi="宋体" w:cs="宋体-WinCharSetFFFF-H"/>
          <w:color w:val="auto"/>
          <w:kern w:val="0"/>
          <w:szCs w:val="21"/>
          <w:highlight w:val="none"/>
        </w:rPr>
        <w:t>内存≥4G</w:t>
      </w:r>
    </w:p>
    <w:p>
      <w:pPr>
        <w:autoSpaceDE w:val="0"/>
        <w:autoSpaceDN w:val="0"/>
        <w:adjustRightInd w:val="0"/>
        <w:spacing w:line="360" w:lineRule="auto"/>
        <w:ind w:left="420" w:firstLine="420" w:firstLineChars="200"/>
        <w:rPr>
          <w:rFonts w:hint="eastAsia" w:ascii="宋体" w:hAnsi="宋体" w:cs="宋体-WinCharSetFFFF-H"/>
          <w:color w:val="auto"/>
          <w:kern w:val="0"/>
          <w:szCs w:val="21"/>
          <w:highlight w:val="none"/>
        </w:rPr>
      </w:pPr>
      <w:r>
        <w:rPr>
          <w:rFonts w:hint="eastAsia" w:ascii="宋体" w:hAnsi="宋体" w:cs="宋体-WinCharSetFFFF-H"/>
          <w:color w:val="auto"/>
          <w:kern w:val="0"/>
          <w:szCs w:val="21"/>
          <w:highlight w:val="none"/>
        </w:rPr>
        <w:t>硬盘≥1TB</w:t>
      </w:r>
    </w:p>
    <w:p>
      <w:pPr>
        <w:autoSpaceDE w:val="0"/>
        <w:autoSpaceDN w:val="0"/>
        <w:adjustRightInd w:val="0"/>
        <w:spacing w:line="360" w:lineRule="auto"/>
        <w:ind w:left="420" w:firstLine="420" w:firstLineChars="200"/>
        <w:rPr>
          <w:rFonts w:hint="eastAsia" w:ascii="宋体" w:hAnsi="宋体" w:cs="宋体-WinCharSetFFFF-H"/>
          <w:color w:val="auto"/>
          <w:kern w:val="0"/>
          <w:szCs w:val="21"/>
          <w:highlight w:val="none"/>
        </w:rPr>
      </w:pPr>
      <w:r>
        <w:rPr>
          <w:rFonts w:hint="eastAsia" w:ascii="宋体" w:hAnsi="宋体" w:cs="宋体-WinCharSetFFFF-H"/>
          <w:color w:val="auto"/>
          <w:kern w:val="0"/>
          <w:szCs w:val="21"/>
          <w:highlight w:val="none"/>
        </w:rPr>
        <w:t>网口≥2个</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c</w:t>
      </w:r>
      <w:r>
        <w:rPr>
          <w:rFonts w:ascii="宋体" w:hAnsi="宋体"/>
          <w:color w:val="auto"/>
          <w:szCs w:val="21"/>
          <w:highlight w:val="none"/>
        </w:rPr>
        <w:t>）</w:t>
      </w:r>
      <w:r>
        <w:rPr>
          <w:rFonts w:hint="eastAsia" w:ascii="宋体" w:hAnsi="宋体"/>
          <w:color w:val="auto"/>
          <w:szCs w:val="21"/>
          <w:highlight w:val="none"/>
        </w:rPr>
        <w:t>公共接口设备。用于站内第三方智能设备接入的转换终端，无风扇设计，无硬盘。设备组屏（柜）布置，硬件配置：网口≥2个，串口≥4个；</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d） 打印机。配置彩色激光打印机（A4幅面）。用于打印事件、报警信号、报表等。打印机应具有网络打印功能；</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e） 音响报警装置。由操作员工作站驱动音响报警，音量可调；</w:t>
      </w:r>
    </w:p>
    <w:p>
      <w:pPr>
        <w:overflowPunct w:val="0"/>
        <w:topLinePunct/>
        <w:spacing w:line="360" w:lineRule="auto"/>
        <w:ind w:firstLine="420" w:firstLineChars="200"/>
        <w:rPr>
          <w:rFonts w:hint="eastAsia" w:ascii="宋体" w:hAnsi="宋体"/>
          <w:color w:val="auto"/>
          <w:szCs w:val="21"/>
          <w:highlight w:val="none"/>
        </w:rPr>
      </w:pPr>
      <w:r>
        <w:rPr>
          <w:rFonts w:ascii="宋体" w:hAnsi="宋体"/>
          <w:color w:val="auto"/>
          <w:szCs w:val="21"/>
          <w:highlight w:val="none"/>
        </w:rPr>
        <w:t>2）</w:t>
      </w:r>
      <w:r>
        <w:rPr>
          <w:rFonts w:hint="eastAsia" w:ascii="宋体" w:hAnsi="宋体"/>
          <w:color w:val="auto"/>
          <w:szCs w:val="21"/>
          <w:highlight w:val="none"/>
        </w:rPr>
        <w:t xml:space="preserve"> 网络设备。</w:t>
      </w:r>
    </w:p>
    <w:p>
      <w:pPr>
        <w:autoSpaceDE w:val="0"/>
        <w:autoSpaceDN w:val="0"/>
        <w:adjustRightInd w:val="0"/>
        <w:spacing w:line="360" w:lineRule="auto"/>
        <w:ind w:firstLine="420" w:firstLineChars="200"/>
        <w:rPr>
          <w:rFonts w:hint="eastAsia" w:ascii="宋体" w:hAnsi="宋体"/>
          <w:color w:val="auto"/>
          <w:szCs w:val="21"/>
          <w:highlight w:val="none"/>
        </w:rPr>
      </w:pPr>
      <w:r>
        <w:rPr>
          <w:rFonts w:hint="eastAsia" w:ascii="宋体" w:hAnsi="宋体"/>
          <w:color w:val="auto"/>
          <w:szCs w:val="21"/>
          <w:highlight w:val="none"/>
        </w:rPr>
        <w:t>网络交换机选用国际知名品牌工业级交换机，无旋转元件如硬盘和风扇，支持网管功能，支持多种百兆、千兆以太网光纤接口类型（LC、SC、ST、MTRJ等），支持零丢包技术，具有打开/关闭端口、端口速率限制和广播风暴抑制功能。支持VLAN、RSTP/eRSTP,GMRP、SNMP功能；冗余电源及告警输出；防护等不低于IP30。电源内置交直流直接输入；MTBF（平均无故障时间）不小于30年（主机及各介质模块）；必须通过IE61850认证。</w:t>
      </w:r>
    </w:p>
    <w:p>
      <w:pPr>
        <w:overflowPunct w:val="0"/>
        <w:topLinePunct/>
        <w:spacing w:line="360" w:lineRule="auto"/>
        <w:ind w:firstLine="420" w:firstLineChars="200"/>
        <w:rPr>
          <w:rFonts w:ascii="宋体" w:hAnsi="宋体"/>
          <w:color w:val="auto"/>
          <w:szCs w:val="21"/>
          <w:highlight w:val="none"/>
        </w:rPr>
      </w:pPr>
      <w:r>
        <w:rPr>
          <w:rFonts w:hint="eastAsia" w:ascii="宋体" w:hAnsi="宋体"/>
          <w:color w:val="auto"/>
          <w:szCs w:val="21"/>
          <w:highlight w:val="none"/>
        </w:rPr>
        <w:t xml:space="preserve">3） </w:t>
      </w:r>
      <w:r>
        <w:rPr>
          <w:rFonts w:ascii="宋体" w:hAnsi="宋体"/>
          <w:color w:val="auto"/>
          <w:szCs w:val="21"/>
          <w:highlight w:val="none"/>
        </w:rPr>
        <w:t>间隔层设备</w:t>
      </w:r>
      <w:r>
        <w:rPr>
          <w:rFonts w:hint="eastAsia" w:ascii="宋体" w:hAnsi="宋体"/>
          <w:color w:val="auto"/>
          <w:szCs w:val="21"/>
          <w:highlight w:val="none"/>
        </w:rPr>
        <w:t>。</w:t>
      </w:r>
    </w:p>
    <w:p>
      <w:pPr>
        <w:autoSpaceDE w:val="0"/>
        <w:autoSpaceDN w:val="0"/>
        <w:adjustRightInd w:val="0"/>
        <w:spacing w:line="360" w:lineRule="auto"/>
        <w:ind w:firstLine="420" w:firstLineChars="200"/>
        <w:rPr>
          <w:rFonts w:hint="eastAsia" w:ascii="宋体" w:hAnsi="宋体"/>
          <w:color w:val="auto"/>
          <w:szCs w:val="21"/>
          <w:highlight w:val="none"/>
        </w:rPr>
      </w:pPr>
      <w:r>
        <w:rPr>
          <w:rFonts w:hint="eastAsia" w:ascii="宋体" w:hAnsi="宋体"/>
          <w:color w:val="auto"/>
          <w:szCs w:val="21"/>
          <w:highlight w:val="none"/>
        </w:rPr>
        <w:t>10kV及以下母线、分段测控装置按保护测控一体化装置配置，就地布置在10kV及以下10kV及以下开关柜上。变压器保护单独组柜。采用的微机数字保护监控装置必须为国际知名品牌ABB_Relion600、SIEMENS_Siprotec4、施耐德_MicomP系列的高端主流产品且要求为全球发布产品，不接受针对国内发布的定制化产品。</w:t>
      </w:r>
    </w:p>
    <w:p>
      <w:pPr>
        <w:overflowPunct w:val="0"/>
        <w:topLinePunct/>
        <w:snapToGrid w:val="0"/>
        <w:spacing w:line="360" w:lineRule="auto"/>
        <w:ind w:firstLine="420" w:firstLineChars="200"/>
        <w:rPr>
          <w:rFonts w:ascii="宋体" w:hAnsi="宋体"/>
          <w:color w:val="auto"/>
          <w:szCs w:val="21"/>
          <w:highlight w:val="none"/>
        </w:rPr>
      </w:pPr>
      <w:r>
        <w:rPr>
          <w:rStyle w:val="27"/>
          <w:rFonts w:hint="eastAsia" w:ascii="宋体" w:hAnsi="宋体" w:eastAsia="宋体"/>
          <w:color w:val="auto"/>
          <w:highlight w:val="none"/>
        </w:rPr>
        <w:t>1.</w:t>
      </w:r>
      <w:r>
        <w:rPr>
          <w:rStyle w:val="27"/>
          <w:rFonts w:ascii="宋体" w:hAnsi="宋体" w:eastAsia="宋体"/>
          <w:color w:val="auto"/>
          <w:highlight w:val="none"/>
        </w:rPr>
        <w:t>2.</w:t>
      </w:r>
      <w:r>
        <w:rPr>
          <w:rStyle w:val="27"/>
          <w:rFonts w:hint="eastAsia" w:ascii="宋体" w:hAnsi="宋体" w:eastAsia="宋体"/>
          <w:color w:val="auto"/>
          <w:highlight w:val="none"/>
        </w:rPr>
        <w:t>5</w:t>
      </w:r>
      <w:r>
        <w:rPr>
          <w:rStyle w:val="27"/>
          <w:rFonts w:ascii="宋体" w:hAnsi="宋体" w:eastAsia="宋体"/>
          <w:color w:val="auto"/>
          <w:highlight w:val="none"/>
        </w:rPr>
        <w:t>.1.2</w:t>
      </w:r>
      <w:r>
        <w:rPr>
          <w:rFonts w:ascii="宋体" w:hAnsi="宋体"/>
          <w:color w:val="auto"/>
          <w:szCs w:val="21"/>
          <w:highlight w:val="none"/>
        </w:rPr>
        <w:t xml:space="preserve"> </w:t>
      </w:r>
      <w:r>
        <w:rPr>
          <w:rFonts w:hint="eastAsia" w:ascii="宋体" w:hAnsi="宋体"/>
          <w:color w:val="auto"/>
          <w:szCs w:val="21"/>
          <w:highlight w:val="none"/>
        </w:rPr>
        <w:t xml:space="preserve"> 系统网络结构</w:t>
      </w:r>
    </w:p>
    <w:p>
      <w:pPr>
        <w:autoSpaceDE w:val="0"/>
        <w:autoSpaceDN w:val="0"/>
        <w:adjustRightInd w:val="0"/>
        <w:spacing w:line="360" w:lineRule="auto"/>
        <w:ind w:firstLine="420" w:firstLineChars="200"/>
        <w:rPr>
          <w:rFonts w:hint="eastAsia" w:ascii="宋体" w:hAnsi="宋体"/>
          <w:color w:val="auto"/>
          <w:szCs w:val="21"/>
          <w:highlight w:val="none"/>
        </w:rPr>
      </w:pPr>
      <w:r>
        <w:rPr>
          <w:rFonts w:hint="eastAsia" w:ascii="宋体" w:hAnsi="宋体"/>
          <w:color w:val="auto"/>
          <w:szCs w:val="21"/>
          <w:highlight w:val="none"/>
        </w:rPr>
        <w:t>计算机监控系统应采用IEC61850星型网络结构。在站控层及网络失效的情况下，间隔层应能独立完成就地数据采集和控制功能。</w:t>
      </w:r>
    </w:p>
    <w:p>
      <w:pPr>
        <w:overflowPunct w:val="0"/>
        <w:topLinePunct/>
        <w:snapToGrid w:val="0"/>
        <w:spacing w:line="360" w:lineRule="auto"/>
        <w:ind w:firstLine="420" w:firstLineChars="200"/>
        <w:rPr>
          <w:rFonts w:ascii="宋体" w:hAnsi="宋体"/>
          <w:color w:val="auto"/>
          <w:szCs w:val="21"/>
          <w:highlight w:val="none"/>
        </w:rPr>
      </w:pPr>
      <w:r>
        <w:rPr>
          <w:rStyle w:val="27"/>
          <w:rFonts w:hint="eastAsia" w:ascii="宋体" w:hAnsi="宋体" w:eastAsia="宋体"/>
          <w:color w:val="auto"/>
          <w:highlight w:val="none"/>
        </w:rPr>
        <w:t>1.</w:t>
      </w:r>
      <w:r>
        <w:rPr>
          <w:rStyle w:val="27"/>
          <w:rFonts w:ascii="宋体" w:hAnsi="宋体" w:eastAsia="宋体"/>
          <w:color w:val="auto"/>
          <w:highlight w:val="none"/>
        </w:rPr>
        <w:t>2.</w:t>
      </w:r>
      <w:r>
        <w:rPr>
          <w:rStyle w:val="27"/>
          <w:rFonts w:hint="eastAsia" w:ascii="宋体" w:hAnsi="宋体" w:eastAsia="宋体"/>
          <w:color w:val="auto"/>
          <w:highlight w:val="none"/>
        </w:rPr>
        <w:t>5</w:t>
      </w:r>
      <w:r>
        <w:rPr>
          <w:rStyle w:val="27"/>
          <w:rFonts w:ascii="宋体" w:hAnsi="宋体" w:eastAsia="宋体"/>
          <w:color w:val="auto"/>
          <w:highlight w:val="none"/>
        </w:rPr>
        <w:t>.1.3</w:t>
      </w:r>
      <w:r>
        <w:rPr>
          <w:rFonts w:hint="eastAsia" w:ascii="宋体" w:hAnsi="宋体"/>
          <w:color w:val="auto"/>
          <w:szCs w:val="21"/>
          <w:highlight w:val="none"/>
        </w:rPr>
        <w:t xml:space="preserve">  计算机监控系统硬件要求</w:t>
      </w:r>
    </w:p>
    <w:p>
      <w:pPr>
        <w:overflowPunct w:val="0"/>
        <w:topLinePunct/>
        <w:spacing w:line="360" w:lineRule="auto"/>
        <w:ind w:firstLine="420" w:firstLineChars="200"/>
        <w:rPr>
          <w:rFonts w:ascii="宋体" w:hAnsi="宋体"/>
          <w:color w:val="auto"/>
          <w:szCs w:val="21"/>
          <w:highlight w:val="none"/>
        </w:rPr>
      </w:pPr>
      <w:r>
        <w:rPr>
          <w:rFonts w:ascii="宋体" w:hAnsi="宋体"/>
          <w:color w:val="auto"/>
          <w:szCs w:val="21"/>
          <w:highlight w:val="none"/>
        </w:rPr>
        <w:t>计算机监控系统应用标准的、网络的、分布功能和系统化的开放式的硬件结构。</w:t>
      </w:r>
    </w:p>
    <w:p>
      <w:pPr>
        <w:overflowPunct w:val="0"/>
        <w:topLinePunct/>
        <w:spacing w:line="360" w:lineRule="auto"/>
        <w:ind w:firstLine="420" w:firstLineChars="200"/>
        <w:rPr>
          <w:rFonts w:ascii="宋体" w:hAnsi="宋体"/>
          <w:color w:val="auto"/>
          <w:szCs w:val="21"/>
          <w:highlight w:val="none"/>
        </w:rPr>
      </w:pPr>
      <w:r>
        <w:rPr>
          <w:rFonts w:ascii="宋体" w:hAnsi="宋体"/>
          <w:color w:val="auto"/>
          <w:szCs w:val="21"/>
          <w:highlight w:val="none"/>
        </w:rPr>
        <w:t>计算机监控系统站控层与间隔层</w:t>
      </w:r>
      <w:r>
        <w:rPr>
          <w:rFonts w:hint="eastAsia" w:ascii="宋体" w:hAnsi="宋体"/>
          <w:color w:val="auto"/>
          <w:szCs w:val="21"/>
          <w:highlight w:val="none"/>
        </w:rPr>
        <w:t>保护装置</w:t>
      </w:r>
      <w:r>
        <w:rPr>
          <w:rFonts w:ascii="宋体" w:hAnsi="宋体"/>
          <w:color w:val="auto"/>
          <w:szCs w:val="21"/>
          <w:highlight w:val="none"/>
        </w:rPr>
        <w:t>的通信介质应为光缆，</w:t>
      </w:r>
      <w:r>
        <w:rPr>
          <w:rFonts w:hint="eastAsia" w:ascii="宋体" w:hAnsi="宋体"/>
          <w:color w:val="auto"/>
          <w:szCs w:val="21"/>
          <w:highlight w:val="none"/>
        </w:rPr>
        <w:t>第三方设备如多功能表、直流屏等</w:t>
      </w:r>
      <w:r>
        <w:rPr>
          <w:rFonts w:ascii="宋体" w:hAnsi="宋体"/>
          <w:color w:val="auto"/>
          <w:szCs w:val="21"/>
          <w:highlight w:val="none"/>
        </w:rPr>
        <w:t>采用双屏蔽双绞线通</w:t>
      </w:r>
      <w:r>
        <w:rPr>
          <w:rFonts w:hint="eastAsia" w:ascii="宋体" w:hAnsi="宋体"/>
          <w:color w:val="auto"/>
          <w:szCs w:val="21"/>
          <w:highlight w:val="none"/>
        </w:rPr>
        <w:t>信</w:t>
      </w:r>
      <w:r>
        <w:rPr>
          <w:rFonts w:ascii="宋体" w:hAnsi="宋体"/>
          <w:color w:val="auto"/>
          <w:szCs w:val="21"/>
          <w:highlight w:val="none"/>
        </w:rPr>
        <w:t>。光缆应有外保护层，能承受一定的机械应力。</w:t>
      </w:r>
    </w:p>
    <w:p>
      <w:pPr>
        <w:overflowPunct w:val="0"/>
        <w:topLinePunct/>
        <w:snapToGrid w:val="0"/>
        <w:spacing w:line="360" w:lineRule="auto"/>
        <w:ind w:firstLine="420" w:firstLineChars="200"/>
        <w:rPr>
          <w:rFonts w:ascii="宋体" w:hAnsi="宋体"/>
          <w:color w:val="auto"/>
          <w:szCs w:val="21"/>
          <w:highlight w:val="none"/>
        </w:rPr>
      </w:pPr>
      <w:r>
        <w:rPr>
          <w:rStyle w:val="27"/>
          <w:rFonts w:hint="eastAsia" w:ascii="宋体" w:hAnsi="宋体" w:eastAsia="宋体"/>
          <w:color w:val="auto"/>
          <w:highlight w:val="none"/>
        </w:rPr>
        <w:t>1.</w:t>
      </w:r>
      <w:r>
        <w:rPr>
          <w:rStyle w:val="27"/>
          <w:rFonts w:ascii="宋体" w:hAnsi="宋体" w:eastAsia="宋体"/>
          <w:color w:val="auto"/>
          <w:highlight w:val="none"/>
        </w:rPr>
        <w:t>2.</w:t>
      </w:r>
      <w:r>
        <w:rPr>
          <w:rStyle w:val="27"/>
          <w:rFonts w:hint="eastAsia" w:ascii="宋体" w:hAnsi="宋体" w:eastAsia="宋体"/>
          <w:color w:val="auto"/>
          <w:highlight w:val="none"/>
        </w:rPr>
        <w:t>5</w:t>
      </w:r>
      <w:r>
        <w:rPr>
          <w:rStyle w:val="27"/>
          <w:rFonts w:ascii="宋体" w:hAnsi="宋体" w:eastAsia="宋体"/>
          <w:color w:val="auto"/>
          <w:highlight w:val="none"/>
        </w:rPr>
        <w:t>.1.4</w:t>
      </w:r>
      <w:r>
        <w:rPr>
          <w:rFonts w:ascii="宋体" w:hAnsi="宋体"/>
          <w:color w:val="auto"/>
          <w:szCs w:val="21"/>
          <w:highlight w:val="none"/>
        </w:rPr>
        <w:t xml:space="preserve"> </w:t>
      </w:r>
      <w:r>
        <w:rPr>
          <w:rFonts w:hint="eastAsia" w:ascii="宋体" w:hAnsi="宋体"/>
          <w:color w:val="auto"/>
          <w:szCs w:val="21"/>
          <w:highlight w:val="none"/>
        </w:rPr>
        <w:t xml:space="preserve"> 计算机监控系统软件要求</w:t>
      </w:r>
    </w:p>
    <w:p>
      <w:pPr>
        <w:overflowPunct w:val="0"/>
        <w:topLinePunct/>
        <w:spacing w:line="360" w:lineRule="auto"/>
        <w:ind w:firstLine="420" w:firstLineChars="200"/>
        <w:rPr>
          <w:rFonts w:hint="eastAsia"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rPr>
        <w:t xml:space="preserve"> 计算机监控系统的软件包括操作系统、数据库和应用软件等，应采用成熟稳定的、标准版本的工业软件，有软件许可，软件配置应满足开放式系统要求，由实时多任务操作系统、支持软件及监控应用软件组成，采用模块化结构，具有实时性、可靠性、适应性、可扩充性及可维护性。</w:t>
      </w:r>
    </w:p>
    <w:p>
      <w:pPr>
        <w:overflowPunct w:val="0"/>
        <w:topLinePunct/>
        <w:spacing w:line="360" w:lineRule="auto"/>
        <w:ind w:firstLine="420" w:firstLineChars="200"/>
        <w:rPr>
          <w:rFonts w:hint="eastAsia" w:ascii="宋体" w:hAnsi="宋体"/>
          <w:color w:val="auto"/>
          <w:szCs w:val="21"/>
          <w:highlight w:val="none"/>
        </w:rPr>
      </w:pPr>
      <w:r>
        <w:rPr>
          <w:rFonts w:hint="eastAsia" w:ascii="宋体" w:hAnsi="宋体"/>
          <w:color w:val="auto"/>
          <w:szCs w:val="21"/>
          <w:highlight w:val="none"/>
        </w:rPr>
        <w:t>2） 应采用成熟稳定的操作系统软件，有软件许可，它应包括操作系统生成包、诊断系统和各种软件维护工具。操作系统能防止数据文件丢失或损坏，支持系统生成及用户程序装入，支持虚拟存储，能有效管理多种外部设备。</w:t>
      </w:r>
    </w:p>
    <w:p>
      <w:pPr>
        <w:overflowPunct w:val="0"/>
        <w:topLinePunct/>
        <w:spacing w:line="360" w:lineRule="auto"/>
        <w:ind w:firstLine="420" w:firstLineChars="200"/>
        <w:rPr>
          <w:rFonts w:hint="eastAsia" w:ascii="宋体" w:hAnsi="宋体"/>
          <w:color w:val="auto"/>
          <w:szCs w:val="21"/>
          <w:highlight w:val="none"/>
        </w:rPr>
      </w:pPr>
      <w:r>
        <w:rPr>
          <w:rFonts w:hint="eastAsia" w:ascii="宋体" w:hAnsi="宋体"/>
          <w:color w:val="auto"/>
          <w:szCs w:val="21"/>
          <w:highlight w:val="none"/>
        </w:rPr>
        <w:t>3） 网络系统应采用成熟可靠软件，管理各个工作站和就地控制单元相互之间的数据通信，保证它们的有效传送、不丢失。</w:t>
      </w:r>
    </w:p>
    <w:p>
      <w:pPr>
        <w:overflowPunct w:val="0"/>
        <w:topLinePunct/>
        <w:spacing w:line="360" w:lineRule="auto"/>
        <w:ind w:firstLine="420" w:firstLineChars="200"/>
        <w:rPr>
          <w:rFonts w:hint="eastAsia" w:ascii="宋体" w:hAnsi="宋体"/>
          <w:color w:val="auto"/>
          <w:szCs w:val="21"/>
          <w:highlight w:val="none"/>
        </w:rPr>
      </w:pPr>
      <w:r>
        <w:rPr>
          <w:rFonts w:hint="eastAsia" w:ascii="宋体" w:hAnsi="宋体"/>
          <w:color w:val="auto"/>
          <w:szCs w:val="21"/>
          <w:highlight w:val="none"/>
        </w:rPr>
        <w:t>4） 当某种功能运行不正常时，不应影响其他功能的运行。</w:t>
      </w:r>
    </w:p>
    <w:p>
      <w:pPr>
        <w:overflowPunct w:val="0"/>
        <w:topLinePunct/>
        <w:snapToGrid w:val="0"/>
        <w:spacing w:line="360" w:lineRule="auto"/>
        <w:ind w:firstLine="420" w:firstLineChars="200"/>
        <w:rPr>
          <w:rFonts w:ascii="宋体" w:hAnsi="宋体"/>
          <w:color w:val="auto"/>
          <w:szCs w:val="21"/>
          <w:highlight w:val="none"/>
        </w:rPr>
      </w:pPr>
      <w:r>
        <w:rPr>
          <w:rStyle w:val="27"/>
          <w:rFonts w:hint="eastAsia" w:ascii="宋体" w:hAnsi="宋体" w:eastAsia="宋体"/>
          <w:color w:val="auto"/>
          <w:highlight w:val="none"/>
        </w:rPr>
        <w:t>1.</w:t>
      </w:r>
      <w:r>
        <w:rPr>
          <w:rStyle w:val="27"/>
          <w:rFonts w:ascii="宋体" w:hAnsi="宋体" w:eastAsia="宋体"/>
          <w:color w:val="auto"/>
          <w:highlight w:val="none"/>
        </w:rPr>
        <w:t>2.</w:t>
      </w:r>
      <w:r>
        <w:rPr>
          <w:rStyle w:val="27"/>
          <w:rFonts w:hint="eastAsia" w:ascii="宋体" w:hAnsi="宋体" w:eastAsia="宋体"/>
          <w:color w:val="auto"/>
          <w:highlight w:val="none"/>
        </w:rPr>
        <w:t>5</w:t>
      </w:r>
      <w:r>
        <w:rPr>
          <w:rStyle w:val="27"/>
          <w:rFonts w:ascii="宋体" w:hAnsi="宋体" w:eastAsia="宋体"/>
          <w:color w:val="auto"/>
          <w:highlight w:val="none"/>
        </w:rPr>
        <w:t>.2</w:t>
      </w:r>
      <w:r>
        <w:rPr>
          <w:rFonts w:ascii="宋体" w:hAnsi="宋体"/>
          <w:color w:val="auto"/>
          <w:szCs w:val="21"/>
          <w:highlight w:val="none"/>
        </w:rPr>
        <w:t xml:space="preserve"> </w:t>
      </w:r>
      <w:r>
        <w:rPr>
          <w:rFonts w:hint="eastAsia" w:ascii="宋体" w:hAnsi="宋体"/>
          <w:color w:val="auto"/>
          <w:szCs w:val="21"/>
          <w:highlight w:val="none"/>
        </w:rPr>
        <w:t xml:space="preserve"> 计算机监控系统功能</w:t>
      </w:r>
    </w:p>
    <w:p>
      <w:pPr>
        <w:overflowPunct w:val="0"/>
        <w:topLinePunct/>
        <w:snapToGrid w:val="0"/>
        <w:spacing w:line="360" w:lineRule="auto"/>
        <w:ind w:firstLine="420" w:firstLineChars="200"/>
        <w:rPr>
          <w:rFonts w:ascii="宋体" w:hAnsi="宋体"/>
          <w:color w:val="auto"/>
          <w:szCs w:val="21"/>
          <w:highlight w:val="none"/>
        </w:rPr>
      </w:pPr>
      <w:r>
        <w:rPr>
          <w:rStyle w:val="27"/>
          <w:rFonts w:hint="eastAsia" w:ascii="宋体" w:hAnsi="宋体" w:eastAsia="宋体"/>
          <w:color w:val="auto"/>
          <w:highlight w:val="none"/>
        </w:rPr>
        <w:t>1.</w:t>
      </w:r>
      <w:r>
        <w:rPr>
          <w:rStyle w:val="27"/>
          <w:rFonts w:ascii="宋体" w:hAnsi="宋体" w:eastAsia="宋体"/>
          <w:color w:val="auto"/>
          <w:highlight w:val="none"/>
        </w:rPr>
        <w:t>2.</w:t>
      </w:r>
      <w:r>
        <w:rPr>
          <w:rStyle w:val="27"/>
          <w:rFonts w:hint="eastAsia" w:ascii="宋体" w:hAnsi="宋体" w:eastAsia="宋体"/>
          <w:color w:val="auto"/>
          <w:highlight w:val="none"/>
        </w:rPr>
        <w:t>5</w:t>
      </w:r>
      <w:r>
        <w:rPr>
          <w:rStyle w:val="27"/>
          <w:rFonts w:ascii="宋体" w:hAnsi="宋体" w:eastAsia="宋体"/>
          <w:color w:val="auto"/>
          <w:highlight w:val="none"/>
        </w:rPr>
        <w:t>.2.1</w:t>
      </w:r>
      <w:r>
        <w:rPr>
          <w:rFonts w:ascii="宋体" w:hAnsi="宋体"/>
          <w:color w:val="auto"/>
          <w:szCs w:val="21"/>
          <w:highlight w:val="none"/>
        </w:rPr>
        <w:t xml:space="preserve"> </w:t>
      </w:r>
      <w:r>
        <w:rPr>
          <w:rFonts w:hint="eastAsia" w:ascii="宋体" w:hAnsi="宋体"/>
          <w:color w:val="auto"/>
          <w:szCs w:val="21"/>
          <w:highlight w:val="none"/>
        </w:rPr>
        <w:t xml:space="preserve"> 数据采集和处理</w:t>
      </w:r>
    </w:p>
    <w:p>
      <w:pPr>
        <w:overflowPunct w:val="0"/>
        <w:topLinePunct/>
        <w:spacing w:line="360" w:lineRule="auto"/>
        <w:ind w:firstLine="420" w:firstLineChars="200"/>
        <w:rPr>
          <w:rFonts w:ascii="宋体" w:hAnsi="宋体"/>
          <w:color w:val="auto"/>
          <w:szCs w:val="21"/>
          <w:highlight w:val="none"/>
        </w:rPr>
      </w:pPr>
      <w:r>
        <w:rPr>
          <w:rFonts w:ascii="宋体" w:hAnsi="宋体"/>
          <w:color w:val="auto"/>
          <w:szCs w:val="21"/>
          <w:highlight w:val="none"/>
        </w:rPr>
        <w:t>计算机监控系统通过</w:t>
      </w:r>
      <w:r>
        <w:rPr>
          <w:rFonts w:hint="eastAsia" w:ascii="宋体" w:hAnsi="宋体"/>
          <w:color w:val="auto"/>
          <w:szCs w:val="21"/>
          <w:highlight w:val="none"/>
        </w:rPr>
        <w:t>保护</w:t>
      </w:r>
      <w:r>
        <w:rPr>
          <w:rFonts w:ascii="宋体" w:hAnsi="宋体"/>
          <w:color w:val="auto"/>
          <w:szCs w:val="21"/>
          <w:highlight w:val="none"/>
        </w:rPr>
        <w:t>测控装置实时采集模拟量、状态量等信息量；通过公共接口设备接受来自其他通信装置的数据。</w:t>
      </w:r>
    </w:p>
    <w:p>
      <w:pPr>
        <w:overflowPunct w:val="0"/>
        <w:topLinePunct/>
        <w:spacing w:line="360" w:lineRule="auto"/>
        <w:ind w:firstLine="420" w:firstLineChars="200"/>
        <w:rPr>
          <w:rFonts w:ascii="宋体" w:hAnsi="宋体"/>
          <w:color w:val="auto"/>
          <w:szCs w:val="21"/>
          <w:highlight w:val="none"/>
        </w:rPr>
      </w:pPr>
      <w:r>
        <w:rPr>
          <w:rFonts w:ascii="宋体" w:hAnsi="宋体"/>
          <w:color w:val="auto"/>
          <w:szCs w:val="21"/>
          <w:highlight w:val="none"/>
        </w:rPr>
        <w:t>对所采集的实时信息进行数字滤波、有效性检查，工程值转换、信号接点抖动消除、刻度计算等加工。从而提供可应用的电流、电压、有功功率、无功功率</w:t>
      </w:r>
      <w:r>
        <w:rPr>
          <w:rFonts w:hint="eastAsia" w:ascii="宋体" w:hAnsi="宋体"/>
          <w:color w:val="auto"/>
          <w:szCs w:val="21"/>
          <w:highlight w:val="none"/>
        </w:rPr>
        <w:t>、</w:t>
      </w:r>
      <w:r>
        <w:rPr>
          <w:rFonts w:ascii="宋体" w:hAnsi="宋体"/>
          <w:color w:val="auto"/>
          <w:szCs w:val="21"/>
          <w:highlight w:val="none"/>
        </w:rPr>
        <w:t>功率因数等各种实时数据，并将这些实时数据带品质描述传送至站控层。</w:t>
      </w:r>
    </w:p>
    <w:p>
      <w:pPr>
        <w:overflowPunct w:val="0"/>
        <w:topLinePunct/>
        <w:snapToGrid w:val="0"/>
        <w:spacing w:line="360" w:lineRule="auto"/>
        <w:ind w:firstLine="420" w:firstLineChars="200"/>
        <w:rPr>
          <w:rFonts w:ascii="宋体" w:hAnsi="宋体"/>
          <w:color w:val="auto"/>
          <w:szCs w:val="21"/>
          <w:highlight w:val="none"/>
        </w:rPr>
      </w:pPr>
      <w:r>
        <w:rPr>
          <w:rStyle w:val="27"/>
          <w:rFonts w:hint="eastAsia" w:ascii="宋体" w:hAnsi="宋体" w:eastAsia="宋体"/>
          <w:color w:val="auto"/>
          <w:highlight w:val="none"/>
        </w:rPr>
        <w:t>1.</w:t>
      </w:r>
      <w:r>
        <w:rPr>
          <w:rStyle w:val="27"/>
          <w:rFonts w:ascii="宋体" w:hAnsi="宋体" w:eastAsia="宋体"/>
          <w:color w:val="auto"/>
          <w:highlight w:val="none"/>
        </w:rPr>
        <w:t>2.</w:t>
      </w:r>
      <w:r>
        <w:rPr>
          <w:rStyle w:val="27"/>
          <w:rFonts w:hint="eastAsia" w:ascii="宋体" w:hAnsi="宋体" w:eastAsia="宋体"/>
          <w:color w:val="auto"/>
          <w:highlight w:val="none"/>
        </w:rPr>
        <w:t>5</w:t>
      </w:r>
      <w:r>
        <w:rPr>
          <w:rStyle w:val="27"/>
          <w:rFonts w:ascii="宋体" w:hAnsi="宋体" w:eastAsia="宋体"/>
          <w:color w:val="auto"/>
          <w:highlight w:val="none"/>
        </w:rPr>
        <w:t>.2.2</w:t>
      </w:r>
      <w:r>
        <w:rPr>
          <w:rFonts w:ascii="宋体" w:hAnsi="宋体"/>
          <w:color w:val="auto"/>
          <w:szCs w:val="21"/>
          <w:highlight w:val="none"/>
        </w:rPr>
        <w:t xml:space="preserve"> </w:t>
      </w:r>
      <w:r>
        <w:rPr>
          <w:rFonts w:hint="eastAsia" w:ascii="宋体" w:hAnsi="宋体"/>
          <w:color w:val="auto"/>
          <w:szCs w:val="21"/>
          <w:highlight w:val="none"/>
        </w:rPr>
        <w:t xml:space="preserve"> 数据库的建立与维护</w:t>
      </w:r>
    </w:p>
    <w:p>
      <w:pPr>
        <w:overflowPunct w:val="0"/>
        <w:topLinePunct/>
        <w:spacing w:line="360" w:lineRule="auto"/>
        <w:ind w:firstLine="420" w:firstLineChars="200"/>
        <w:textAlignment w:val="baseline"/>
        <w:rPr>
          <w:rFonts w:hint="eastAsia"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rPr>
        <w:t xml:space="preserve"> </w:t>
      </w:r>
      <w:r>
        <w:rPr>
          <w:rFonts w:ascii="宋体" w:hAnsi="宋体"/>
          <w:color w:val="auto"/>
          <w:szCs w:val="21"/>
          <w:highlight w:val="none"/>
        </w:rPr>
        <w:t>数据库的建立</w:t>
      </w:r>
      <w:r>
        <w:rPr>
          <w:rFonts w:hint="eastAsia" w:ascii="宋体" w:hAnsi="宋体"/>
          <w:color w:val="auto"/>
          <w:szCs w:val="21"/>
          <w:highlight w:val="none"/>
        </w:rPr>
        <w:t>。</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a） 实时数据库。存储计算机监控系统采集的实时数据，其数值应根据运行工况的实时变化而不断更新，记录被监控设备的当前状态。</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b） 历史数据库。对于需要长期保存的重要数据将存放在历史数据库中。应提供通用数据库，记录周期为1min～1h可调。历史数据应能够在线滚动存储1年，无需人工干预。</w:t>
      </w:r>
    </w:p>
    <w:p>
      <w:pPr>
        <w:overflowPunct w:val="0"/>
        <w:topLinePunct/>
        <w:spacing w:line="360" w:lineRule="auto"/>
        <w:ind w:firstLine="420" w:firstLineChars="200"/>
        <w:textAlignment w:val="baseline"/>
        <w:rPr>
          <w:rFonts w:hint="eastAsia" w:ascii="宋体" w:hAnsi="宋体"/>
          <w:color w:val="auto"/>
          <w:szCs w:val="21"/>
          <w:highlight w:val="none"/>
        </w:rPr>
      </w:pPr>
      <w:r>
        <w:rPr>
          <w:rFonts w:ascii="宋体" w:hAnsi="宋体"/>
          <w:color w:val="auto"/>
          <w:szCs w:val="21"/>
          <w:highlight w:val="none"/>
        </w:rPr>
        <w:t>2）</w:t>
      </w:r>
      <w:r>
        <w:rPr>
          <w:rFonts w:hint="eastAsia" w:ascii="宋体" w:hAnsi="宋体"/>
          <w:color w:val="auto"/>
          <w:szCs w:val="21"/>
          <w:highlight w:val="none"/>
        </w:rPr>
        <w:t xml:space="preserve"> </w:t>
      </w:r>
      <w:r>
        <w:rPr>
          <w:rFonts w:ascii="宋体" w:hAnsi="宋体"/>
          <w:color w:val="auto"/>
          <w:szCs w:val="21"/>
          <w:highlight w:val="none"/>
        </w:rPr>
        <w:t>数据库的维护</w:t>
      </w:r>
      <w:r>
        <w:rPr>
          <w:rFonts w:hint="eastAsia" w:ascii="宋体" w:hAnsi="宋体"/>
          <w:color w:val="auto"/>
          <w:szCs w:val="21"/>
          <w:highlight w:val="none"/>
        </w:rPr>
        <w:t>。</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a） 数据库应便于扩充和维护，应保证数据的一致性、安全性；</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b） 可方便地交互式查询和调用。</w:t>
      </w:r>
    </w:p>
    <w:p>
      <w:pPr>
        <w:overflowPunct w:val="0"/>
        <w:topLinePunct/>
        <w:snapToGrid w:val="0"/>
        <w:spacing w:line="360" w:lineRule="auto"/>
        <w:ind w:firstLine="420" w:firstLineChars="200"/>
        <w:rPr>
          <w:rFonts w:ascii="宋体" w:hAnsi="宋体"/>
          <w:color w:val="auto"/>
          <w:szCs w:val="21"/>
          <w:highlight w:val="none"/>
        </w:rPr>
      </w:pPr>
      <w:r>
        <w:rPr>
          <w:rStyle w:val="27"/>
          <w:rFonts w:hint="eastAsia" w:ascii="宋体" w:hAnsi="宋体" w:eastAsia="宋体"/>
          <w:color w:val="auto"/>
          <w:highlight w:val="none"/>
        </w:rPr>
        <w:t>1.</w:t>
      </w:r>
      <w:r>
        <w:rPr>
          <w:rStyle w:val="27"/>
          <w:rFonts w:ascii="宋体" w:hAnsi="宋体" w:eastAsia="宋体"/>
          <w:color w:val="auto"/>
          <w:highlight w:val="none"/>
        </w:rPr>
        <w:t>2.</w:t>
      </w:r>
      <w:r>
        <w:rPr>
          <w:rStyle w:val="27"/>
          <w:rFonts w:hint="eastAsia" w:ascii="宋体" w:hAnsi="宋体" w:eastAsia="宋体"/>
          <w:color w:val="auto"/>
          <w:highlight w:val="none"/>
        </w:rPr>
        <w:t>5</w:t>
      </w:r>
      <w:r>
        <w:rPr>
          <w:rStyle w:val="27"/>
          <w:rFonts w:ascii="宋体" w:hAnsi="宋体" w:eastAsia="宋体"/>
          <w:color w:val="auto"/>
          <w:highlight w:val="none"/>
        </w:rPr>
        <w:t>.2.3</w:t>
      </w:r>
      <w:r>
        <w:rPr>
          <w:rFonts w:hint="eastAsia" w:ascii="宋体" w:hAnsi="宋体"/>
          <w:color w:val="auto"/>
          <w:szCs w:val="21"/>
          <w:highlight w:val="none"/>
        </w:rPr>
        <w:t xml:space="preserve"> </w:t>
      </w:r>
      <w:r>
        <w:rPr>
          <w:rFonts w:ascii="宋体" w:hAnsi="宋体"/>
          <w:color w:val="auto"/>
          <w:szCs w:val="21"/>
          <w:highlight w:val="none"/>
        </w:rPr>
        <w:t xml:space="preserve"> </w:t>
      </w:r>
      <w:r>
        <w:rPr>
          <w:rFonts w:hint="eastAsia" w:ascii="宋体" w:hAnsi="宋体"/>
          <w:color w:val="auto"/>
          <w:szCs w:val="21"/>
          <w:highlight w:val="none"/>
        </w:rPr>
        <w:t>操作控制</w:t>
      </w:r>
    </w:p>
    <w:p>
      <w:pPr>
        <w:overflowPunct w:val="0"/>
        <w:topLinePunct/>
        <w:spacing w:line="360" w:lineRule="auto"/>
        <w:ind w:firstLine="420" w:firstLineChars="200"/>
        <w:textAlignment w:val="baseline"/>
        <w:rPr>
          <w:rFonts w:hint="eastAsia" w:ascii="宋体" w:hAnsi="宋体"/>
          <w:color w:val="auto"/>
          <w:szCs w:val="21"/>
          <w:highlight w:val="none"/>
        </w:rPr>
      </w:pPr>
      <w:r>
        <w:rPr>
          <w:rFonts w:hint="eastAsia" w:ascii="宋体" w:hAnsi="宋体"/>
          <w:color w:val="auto"/>
          <w:szCs w:val="21"/>
          <w:highlight w:val="none"/>
        </w:rPr>
        <w:t>操作员可对需要控制的电气设备进行控制操作。计算机监控系统应具有操作监护功能，允许监护人员在操作员工作站上实施监护，避免误操作。</w:t>
      </w:r>
    </w:p>
    <w:p>
      <w:pPr>
        <w:overflowPunct w:val="0"/>
        <w:topLinePunct/>
        <w:spacing w:line="360" w:lineRule="auto"/>
        <w:ind w:firstLine="420" w:firstLineChars="200"/>
        <w:textAlignment w:val="baseline"/>
        <w:rPr>
          <w:rFonts w:hint="eastAsia" w:ascii="宋体" w:hAnsi="宋体"/>
          <w:color w:val="auto"/>
          <w:szCs w:val="21"/>
          <w:highlight w:val="none"/>
        </w:rPr>
      </w:pPr>
      <w:r>
        <w:rPr>
          <w:rFonts w:hint="eastAsia" w:ascii="宋体" w:hAnsi="宋体"/>
          <w:color w:val="auto"/>
          <w:szCs w:val="21"/>
          <w:highlight w:val="none"/>
        </w:rPr>
        <w:t>操作控制分为四级：</w:t>
      </w:r>
    </w:p>
    <w:p>
      <w:pPr>
        <w:overflowPunct w:val="0"/>
        <w:topLinePunct/>
        <w:spacing w:line="360" w:lineRule="auto"/>
        <w:ind w:firstLine="420" w:firstLineChars="200"/>
        <w:textAlignment w:val="baseline"/>
        <w:rPr>
          <w:rFonts w:hint="eastAsia" w:ascii="宋体" w:hAnsi="宋体"/>
          <w:color w:val="auto"/>
          <w:szCs w:val="21"/>
          <w:highlight w:val="none"/>
        </w:rPr>
      </w:pPr>
      <w:r>
        <w:rPr>
          <w:rFonts w:hint="eastAsia" w:ascii="宋体" w:hAnsi="宋体"/>
          <w:color w:val="auto"/>
          <w:szCs w:val="21"/>
          <w:highlight w:val="none"/>
        </w:rPr>
        <w:t>第一级控制，设备就地检修控制。具有最高优先级的控制权。当操作人员将就地设备的远方/就地切换开关放在就地位置时，将闭锁所有其他控制功能，只能进行现场操作。</w:t>
      </w:r>
    </w:p>
    <w:p>
      <w:pPr>
        <w:overflowPunct w:val="0"/>
        <w:topLinePunct/>
        <w:spacing w:line="360" w:lineRule="auto"/>
        <w:ind w:firstLine="420" w:firstLineChars="200"/>
        <w:textAlignment w:val="baseline"/>
        <w:rPr>
          <w:rFonts w:hint="eastAsia" w:ascii="宋体" w:hAnsi="宋体"/>
          <w:color w:val="auto"/>
          <w:szCs w:val="21"/>
          <w:highlight w:val="none"/>
        </w:rPr>
      </w:pPr>
      <w:r>
        <w:rPr>
          <w:rFonts w:hint="eastAsia" w:ascii="宋体" w:hAnsi="宋体"/>
          <w:color w:val="auto"/>
          <w:szCs w:val="21"/>
          <w:highlight w:val="none"/>
        </w:rPr>
        <w:t>第二级控制，间隔层后备控制。其与第三级控制的切换在间隔层完成。</w:t>
      </w:r>
    </w:p>
    <w:p>
      <w:pPr>
        <w:overflowPunct w:val="0"/>
        <w:topLinePunct/>
        <w:spacing w:line="360" w:lineRule="auto"/>
        <w:ind w:firstLine="420" w:firstLineChars="200"/>
        <w:textAlignment w:val="baseline"/>
        <w:rPr>
          <w:rFonts w:hint="eastAsia" w:ascii="宋体" w:hAnsi="宋体"/>
          <w:color w:val="auto"/>
          <w:szCs w:val="21"/>
          <w:highlight w:val="none"/>
        </w:rPr>
      </w:pPr>
      <w:r>
        <w:rPr>
          <w:rFonts w:hint="eastAsia" w:ascii="宋体" w:hAnsi="宋体"/>
          <w:color w:val="auto"/>
          <w:szCs w:val="21"/>
          <w:highlight w:val="none"/>
        </w:rPr>
        <w:t>第三级控制，站控层控制。该级控制在操作员工作站上完成，具有远方/站控层的切换。</w:t>
      </w:r>
    </w:p>
    <w:p>
      <w:pPr>
        <w:overflowPunct w:val="0"/>
        <w:topLinePunct/>
        <w:spacing w:line="360" w:lineRule="auto"/>
        <w:ind w:firstLine="420" w:firstLineChars="200"/>
        <w:textAlignment w:val="baseline"/>
        <w:rPr>
          <w:rFonts w:hint="eastAsia" w:ascii="宋体" w:hAnsi="宋体"/>
          <w:color w:val="auto"/>
          <w:szCs w:val="21"/>
          <w:highlight w:val="none"/>
        </w:rPr>
      </w:pPr>
      <w:r>
        <w:rPr>
          <w:rFonts w:hint="eastAsia" w:ascii="宋体" w:hAnsi="宋体"/>
          <w:color w:val="auto"/>
          <w:szCs w:val="21"/>
          <w:highlight w:val="none"/>
        </w:rPr>
        <w:t>第四级控制，远方控制，优先级最低。</w:t>
      </w:r>
    </w:p>
    <w:p>
      <w:pPr>
        <w:overflowPunct w:val="0"/>
        <w:topLinePunct/>
        <w:spacing w:line="360" w:lineRule="auto"/>
        <w:ind w:firstLine="420" w:firstLineChars="200"/>
        <w:textAlignment w:val="baseline"/>
        <w:rPr>
          <w:rFonts w:hint="eastAsia" w:ascii="宋体" w:hAnsi="宋体"/>
          <w:color w:val="auto"/>
          <w:szCs w:val="21"/>
          <w:highlight w:val="none"/>
        </w:rPr>
      </w:pPr>
      <w:r>
        <w:rPr>
          <w:rFonts w:hint="eastAsia" w:ascii="宋体" w:hAnsi="宋体"/>
          <w:color w:val="auto"/>
          <w:szCs w:val="21"/>
          <w:highlight w:val="none"/>
        </w:rPr>
        <w:t>原则上间隔层控制和设备就地控制作为后备操作或检修操作手段。为防止误操作，在任何控制方式下都需采用分步操作，即选择、返校、执行，并在站级层设置操作员、监护员口令及线路代码，以确保操作的安全性和正确性。对任何操作方式，应保证只有在上一次操作步骤完成后，才能进行下一步操作。同一时间只允许一种控制方式有效。</w:t>
      </w:r>
    </w:p>
    <w:p>
      <w:pPr>
        <w:overflowPunct w:val="0"/>
        <w:topLinePunct/>
        <w:snapToGrid w:val="0"/>
        <w:spacing w:line="360" w:lineRule="auto"/>
        <w:ind w:firstLine="420" w:firstLineChars="200"/>
        <w:rPr>
          <w:rFonts w:ascii="宋体" w:hAnsi="宋体"/>
          <w:color w:val="auto"/>
          <w:szCs w:val="21"/>
          <w:highlight w:val="none"/>
        </w:rPr>
      </w:pPr>
      <w:r>
        <w:rPr>
          <w:rStyle w:val="27"/>
          <w:rFonts w:hint="eastAsia" w:ascii="宋体" w:hAnsi="宋体" w:eastAsia="宋体"/>
          <w:color w:val="auto"/>
          <w:highlight w:val="none"/>
        </w:rPr>
        <w:t>1.</w:t>
      </w:r>
      <w:r>
        <w:rPr>
          <w:rStyle w:val="27"/>
          <w:rFonts w:ascii="宋体" w:hAnsi="宋体" w:eastAsia="宋体"/>
          <w:color w:val="auto"/>
          <w:highlight w:val="none"/>
        </w:rPr>
        <w:t>2.</w:t>
      </w:r>
      <w:r>
        <w:rPr>
          <w:rStyle w:val="27"/>
          <w:rFonts w:hint="eastAsia" w:ascii="宋体" w:hAnsi="宋体" w:eastAsia="宋体"/>
          <w:color w:val="auto"/>
          <w:highlight w:val="none"/>
        </w:rPr>
        <w:t>5</w:t>
      </w:r>
      <w:r>
        <w:rPr>
          <w:rStyle w:val="27"/>
          <w:rFonts w:ascii="宋体" w:hAnsi="宋体" w:eastAsia="宋体"/>
          <w:color w:val="auto"/>
          <w:highlight w:val="none"/>
        </w:rPr>
        <w:t>.2.</w:t>
      </w:r>
      <w:r>
        <w:rPr>
          <w:rStyle w:val="27"/>
          <w:rFonts w:hint="eastAsia" w:ascii="宋体" w:hAnsi="宋体" w:eastAsia="宋体"/>
          <w:color w:val="auto"/>
          <w:highlight w:val="none"/>
        </w:rPr>
        <w:t>4</w:t>
      </w:r>
      <w:r>
        <w:rPr>
          <w:rFonts w:ascii="宋体" w:hAnsi="宋体"/>
          <w:color w:val="auto"/>
          <w:szCs w:val="21"/>
          <w:highlight w:val="none"/>
        </w:rPr>
        <w:t xml:space="preserve"> </w:t>
      </w:r>
      <w:r>
        <w:rPr>
          <w:rFonts w:hint="eastAsia" w:ascii="宋体" w:hAnsi="宋体"/>
          <w:color w:val="auto"/>
          <w:szCs w:val="21"/>
          <w:highlight w:val="none"/>
        </w:rPr>
        <w:t xml:space="preserve"> 事件顺序记录</w:t>
      </w:r>
    </w:p>
    <w:p>
      <w:pPr>
        <w:tabs>
          <w:tab w:val="left" w:pos="2700"/>
        </w:tabs>
        <w:overflowPunct w:val="0"/>
        <w:topLinePunct/>
        <w:spacing w:line="360" w:lineRule="auto"/>
        <w:ind w:firstLine="420" w:firstLineChars="200"/>
        <w:textAlignment w:val="center"/>
        <w:rPr>
          <w:rFonts w:ascii="宋体" w:hAnsi="宋体"/>
          <w:color w:val="auto"/>
          <w:szCs w:val="21"/>
          <w:highlight w:val="none"/>
        </w:rPr>
      </w:pPr>
      <w:r>
        <w:rPr>
          <w:rFonts w:ascii="宋体" w:hAnsi="宋体"/>
          <w:color w:val="auto"/>
          <w:szCs w:val="21"/>
          <w:highlight w:val="none"/>
        </w:rPr>
        <w:t>当变电站一次设备出现故障时，将引起继电保护动作、开关跳闸，事件顺序记录功能应将事件过程中各设备动作顺序，带时标记录、存储、显示、打印，生成事件记录报告，供查询。系统保存1年的事件顺序记录条文。事件分辨率：测控装置</w:t>
      </w:r>
      <w:r>
        <w:rPr>
          <w:rFonts w:hint="eastAsia" w:ascii="宋体" w:hAnsi="宋体"/>
          <w:color w:val="auto"/>
          <w:szCs w:val="21"/>
          <w:highlight w:val="none"/>
        </w:rPr>
        <w:t>小于或等于</w:t>
      </w:r>
      <w:r>
        <w:rPr>
          <w:rFonts w:ascii="宋体" w:hAnsi="宋体"/>
          <w:color w:val="auto"/>
          <w:szCs w:val="21"/>
          <w:highlight w:val="none"/>
        </w:rPr>
        <w:t>1ms，站控层</w:t>
      </w:r>
      <w:r>
        <w:rPr>
          <w:rFonts w:hint="eastAsia" w:ascii="宋体" w:hAnsi="宋体"/>
          <w:color w:val="auto"/>
          <w:szCs w:val="21"/>
          <w:highlight w:val="none"/>
        </w:rPr>
        <w:t>小于或等于</w:t>
      </w:r>
      <w:r>
        <w:rPr>
          <w:rFonts w:ascii="宋体" w:hAnsi="宋体"/>
          <w:color w:val="auto"/>
          <w:szCs w:val="21"/>
          <w:highlight w:val="none"/>
        </w:rPr>
        <w:t>2ms。</w:t>
      </w:r>
    </w:p>
    <w:p>
      <w:pPr>
        <w:overflowPunct w:val="0"/>
        <w:topLinePunct/>
        <w:snapToGrid w:val="0"/>
        <w:spacing w:line="360" w:lineRule="auto"/>
        <w:ind w:firstLine="420" w:firstLineChars="200"/>
        <w:rPr>
          <w:rFonts w:ascii="宋体" w:hAnsi="宋体"/>
          <w:color w:val="auto"/>
          <w:szCs w:val="21"/>
          <w:highlight w:val="none"/>
        </w:rPr>
      </w:pPr>
      <w:r>
        <w:rPr>
          <w:rStyle w:val="27"/>
          <w:rFonts w:hint="eastAsia" w:ascii="宋体" w:hAnsi="宋体" w:eastAsia="宋体"/>
          <w:color w:val="auto"/>
          <w:highlight w:val="none"/>
        </w:rPr>
        <w:t>1.</w:t>
      </w:r>
      <w:r>
        <w:rPr>
          <w:rStyle w:val="27"/>
          <w:rFonts w:ascii="宋体" w:hAnsi="宋体" w:eastAsia="宋体"/>
          <w:color w:val="auto"/>
          <w:highlight w:val="none"/>
        </w:rPr>
        <w:t>2.</w:t>
      </w:r>
      <w:r>
        <w:rPr>
          <w:rStyle w:val="27"/>
          <w:rFonts w:hint="eastAsia" w:ascii="宋体" w:hAnsi="宋体" w:eastAsia="宋体"/>
          <w:color w:val="auto"/>
          <w:highlight w:val="none"/>
        </w:rPr>
        <w:t>5</w:t>
      </w:r>
      <w:r>
        <w:rPr>
          <w:rStyle w:val="27"/>
          <w:rFonts w:ascii="宋体" w:hAnsi="宋体" w:eastAsia="宋体"/>
          <w:color w:val="auto"/>
          <w:highlight w:val="none"/>
        </w:rPr>
        <w:t>.2.</w:t>
      </w:r>
      <w:r>
        <w:rPr>
          <w:rStyle w:val="27"/>
          <w:rFonts w:hint="eastAsia" w:ascii="宋体" w:hAnsi="宋体" w:eastAsia="宋体"/>
          <w:color w:val="auto"/>
          <w:highlight w:val="none"/>
        </w:rPr>
        <w:t>5</w:t>
      </w:r>
      <w:r>
        <w:rPr>
          <w:rFonts w:hint="eastAsia" w:ascii="宋体" w:hAnsi="宋体"/>
          <w:color w:val="auto"/>
          <w:szCs w:val="21"/>
          <w:highlight w:val="none"/>
        </w:rPr>
        <w:t xml:space="preserve"> </w:t>
      </w:r>
      <w:r>
        <w:rPr>
          <w:rFonts w:ascii="宋体" w:hAnsi="宋体"/>
          <w:color w:val="auto"/>
          <w:szCs w:val="21"/>
          <w:highlight w:val="none"/>
        </w:rPr>
        <w:t xml:space="preserve"> </w:t>
      </w:r>
      <w:r>
        <w:rPr>
          <w:rFonts w:hint="eastAsia" w:ascii="宋体" w:hAnsi="宋体"/>
          <w:color w:val="auto"/>
          <w:szCs w:val="21"/>
          <w:highlight w:val="none"/>
        </w:rPr>
        <w:t>画面生成及显示</w:t>
      </w:r>
    </w:p>
    <w:p>
      <w:pPr>
        <w:tabs>
          <w:tab w:val="left" w:pos="2700"/>
        </w:tabs>
        <w:overflowPunct w:val="0"/>
        <w:topLinePunct/>
        <w:spacing w:line="360" w:lineRule="auto"/>
        <w:ind w:firstLine="420" w:firstLineChars="200"/>
        <w:textAlignment w:val="center"/>
        <w:rPr>
          <w:rFonts w:ascii="宋体" w:hAnsi="宋体"/>
          <w:color w:val="auto"/>
          <w:szCs w:val="21"/>
          <w:highlight w:val="none"/>
        </w:rPr>
      </w:pPr>
      <w:r>
        <w:rPr>
          <w:rFonts w:ascii="宋体" w:hAnsi="宋体"/>
          <w:color w:val="auto"/>
          <w:szCs w:val="21"/>
          <w:highlight w:val="none"/>
        </w:rPr>
        <w:t>系统应具有网络拓扑分析功能，实现带电设备的颜色标识。所有静态和动态画面应能存储。</w:t>
      </w:r>
    </w:p>
    <w:p>
      <w:pPr>
        <w:overflowPunct w:val="0"/>
        <w:topLinePunct/>
        <w:spacing w:line="360" w:lineRule="auto"/>
        <w:ind w:firstLine="420" w:firstLineChars="200"/>
        <w:textAlignment w:val="baseline"/>
        <w:rPr>
          <w:rFonts w:hint="eastAsia"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rPr>
        <w:t xml:space="preserve"> 画面显示内容。</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ascii="宋体" w:hAnsi="宋体"/>
          <w:color w:val="auto"/>
          <w:szCs w:val="21"/>
          <w:highlight w:val="none"/>
        </w:rPr>
        <w:t>a）</w:t>
      </w:r>
      <w:r>
        <w:rPr>
          <w:rFonts w:hint="eastAsia" w:ascii="宋体" w:hAnsi="宋体"/>
          <w:color w:val="auto"/>
          <w:szCs w:val="21"/>
          <w:highlight w:val="none"/>
        </w:rPr>
        <w:tab/>
      </w:r>
      <w:r>
        <w:rPr>
          <w:rFonts w:hint="eastAsia" w:ascii="宋体" w:hAnsi="宋体"/>
          <w:color w:val="auto"/>
          <w:szCs w:val="21"/>
          <w:highlight w:val="none"/>
        </w:rPr>
        <w:t>全站电气主接线图（若幅面太大时可用漫游或缩放方式）；</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b）</w:t>
      </w:r>
      <w:r>
        <w:rPr>
          <w:rFonts w:hint="eastAsia" w:ascii="宋体" w:hAnsi="宋体"/>
          <w:color w:val="auto"/>
          <w:szCs w:val="21"/>
          <w:highlight w:val="none"/>
        </w:rPr>
        <w:tab/>
      </w:r>
      <w:r>
        <w:rPr>
          <w:rFonts w:hint="eastAsia" w:ascii="宋体" w:hAnsi="宋体"/>
          <w:color w:val="auto"/>
          <w:szCs w:val="21"/>
          <w:highlight w:val="none"/>
        </w:rPr>
        <w:t>分区及单元接线图；</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c）</w:t>
      </w:r>
      <w:r>
        <w:rPr>
          <w:rFonts w:hint="eastAsia" w:ascii="宋体" w:hAnsi="宋体"/>
          <w:color w:val="auto"/>
          <w:szCs w:val="21"/>
          <w:highlight w:val="none"/>
        </w:rPr>
        <w:tab/>
      </w:r>
      <w:r>
        <w:rPr>
          <w:rFonts w:hint="eastAsia" w:ascii="宋体" w:hAnsi="宋体"/>
          <w:color w:val="auto"/>
          <w:szCs w:val="21"/>
          <w:highlight w:val="none"/>
        </w:rPr>
        <w:t>实时及历史曲线显示；</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d）</w:t>
      </w:r>
      <w:r>
        <w:rPr>
          <w:rFonts w:hint="eastAsia" w:ascii="宋体" w:hAnsi="宋体"/>
          <w:color w:val="auto"/>
          <w:szCs w:val="21"/>
          <w:highlight w:val="none"/>
        </w:rPr>
        <w:tab/>
      </w:r>
      <w:r>
        <w:rPr>
          <w:rFonts w:hint="eastAsia" w:ascii="宋体" w:hAnsi="宋体"/>
          <w:color w:val="auto"/>
          <w:szCs w:val="21"/>
          <w:highlight w:val="none"/>
        </w:rPr>
        <w:t>棒图（电压和负荷监视）；</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e）</w:t>
      </w:r>
      <w:r>
        <w:rPr>
          <w:rFonts w:hint="eastAsia" w:ascii="宋体" w:hAnsi="宋体"/>
          <w:color w:val="auto"/>
          <w:szCs w:val="21"/>
          <w:highlight w:val="none"/>
        </w:rPr>
        <w:tab/>
      </w:r>
      <w:r>
        <w:rPr>
          <w:rFonts w:hint="eastAsia" w:ascii="宋体" w:hAnsi="宋体"/>
          <w:color w:val="auto"/>
          <w:szCs w:val="21"/>
          <w:highlight w:val="none"/>
        </w:rPr>
        <w:t>间隔单元及全站报警显示图；</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f）</w:t>
      </w:r>
      <w:r>
        <w:rPr>
          <w:rFonts w:hint="eastAsia" w:ascii="宋体" w:hAnsi="宋体"/>
          <w:color w:val="auto"/>
          <w:szCs w:val="21"/>
          <w:highlight w:val="none"/>
        </w:rPr>
        <w:tab/>
      </w:r>
      <w:r>
        <w:rPr>
          <w:rFonts w:hint="eastAsia" w:ascii="宋体" w:hAnsi="宋体"/>
          <w:color w:val="auto"/>
          <w:szCs w:val="21"/>
          <w:highlight w:val="none"/>
        </w:rPr>
        <w:t>计算机监控系统配置及运行工况图；</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g）</w:t>
      </w:r>
      <w:r>
        <w:rPr>
          <w:rFonts w:hint="eastAsia" w:ascii="宋体" w:hAnsi="宋体"/>
          <w:color w:val="auto"/>
          <w:szCs w:val="21"/>
          <w:highlight w:val="none"/>
        </w:rPr>
        <w:tab/>
      </w:r>
      <w:r>
        <w:rPr>
          <w:rFonts w:hint="eastAsia" w:ascii="宋体" w:hAnsi="宋体"/>
          <w:color w:val="auto"/>
          <w:szCs w:val="21"/>
          <w:highlight w:val="none"/>
        </w:rPr>
        <w:t>直流系统图；</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h）</w:t>
      </w:r>
      <w:r>
        <w:rPr>
          <w:rFonts w:hint="eastAsia" w:ascii="宋体" w:hAnsi="宋体"/>
          <w:color w:val="auto"/>
          <w:szCs w:val="21"/>
          <w:highlight w:val="none"/>
        </w:rPr>
        <w:tab/>
      </w:r>
      <w:r>
        <w:rPr>
          <w:rFonts w:hint="eastAsia" w:ascii="宋体" w:hAnsi="宋体"/>
          <w:color w:val="auto"/>
          <w:szCs w:val="21"/>
          <w:highlight w:val="none"/>
        </w:rPr>
        <w:t>站用电系统图；</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i）</w:t>
      </w:r>
      <w:r>
        <w:rPr>
          <w:rFonts w:hint="eastAsia" w:ascii="宋体" w:hAnsi="宋体"/>
          <w:color w:val="auto"/>
          <w:szCs w:val="21"/>
          <w:highlight w:val="none"/>
        </w:rPr>
        <w:tab/>
      </w:r>
      <w:r>
        <w:rPr>
          <w:rFonts w:hint="eastAsia" w:ascii="宋体" w:hAnsi="宋体"/>
          <w:color w:val="auto"/>
          <w:szCs w:val="21"/>
          <w:highlight w:val="none"/>
        </w:rPr>
        <w:t>报告显示（包括报警、事故和常规运行数据）；</w:t>
      </w:r>
    </w:p>
    <w:p>
      <w:pPr>
        <w:autoSpaceDE w:val="0"/>
        <w:autoSpaceDN w:val="0"/>
        <w:adjustRightInd w:val="0"/>
        <w:spacing w:line="360" w:lineRule="auto"/>
        <w:ind w:left="420" w:firstLine="420" w:firstLineChars="200"/>
        <w:rPr>
          <w:rFonts w:ascii="宋体" w:hAnsi="宋体"/>
          <w:color w:val="auto"/>
          <w:szCs w:val="21"/>
          <w:highlight w:val="none"/>
        </w:rPr>
      </w:pPr>
      <w:r>
        <w:rPr>
          <w:rFonts w:hint="eastAsia" w:ascii="宋体" w:hAnsi="宋体"/>
          <w:color w:val="auto"/>
          <w:szCs w:val="21"/>
          <w:highlight w:val="none"/>
        </w:rPr>
        <w:t>j）</w:t>
      </w:r>
      <w:r>
        <w:rPr>
          <w:rFonts w:hint="eastAsia" w:ascii="宋体" w:hAnsi="宋体"/>
          <w:color w:val="auto"/>
          <w:szCs w:val="21"/>
          <w:highlight w:val="none"/>
        </w:rPr>
        <w:tab/>
      </w:r>
      <w:r>
        <w:rPr>
          <w:rFonts w:hint="eastAsia" w:ascii="宋体" w:hAnsi="宋体"/>
          <w:color w:val="auto"/>
          <w:szCs w:val="21"/>
          <w:highlight w:val="none"/>
        </w:rPr>
        <w:t>表格显示（如设备运行参数表、各种报表等）；</w:t>
      </w:r>
    </w:p>
    <w:p>
      <w:pPr>
        <w:autoSpaceDE w:val="0"/>
        <w:autoSpaceDN w:val="0"/>
        <w:adjustRightInd w:val="0"/>
        <w:spacing w:line="360" w:lineRule="auto"/>
        <w:ind w:left="420" w:firstLine="420" w:firstLineChars="200"/>
        <w:rPr>
          <w:rFonts w:ascii="宋体" w:hAnsi="宋体"/>
          <w:color w:val="auto"/>
          <w:szCs w:val="21"/>
          <w:highlight w:val="none"/>
        </w:rPr>
      </w:pPr>
      <w:r>
        <w:rPr>
          <w:rFonts w:hint="eastAsia" w:ascii="宋体" w:hAnsi="宋体"/>
          <w:color w:val="auto"/>
          <w:szCs w:val="21"/>
          <w:highlight w:val="none"/>
        </w:rPr>
        <w:t>k） 0</w:t>
      </w:r>
      <w:r>
        <w:rPr>
          <w:rFonts w:ascii="宋体" w:hAnsi="宋体"/>
          <w:color w:val="auto"/>
          <w:szCs w:val="21"/>
          <w:highlight w:val="none"/>
        </w:rPr>
        <w:t>.4</w:t>
      </w:r>
      <w:r>
        <w:rPr>
          <w:rFonts w:hint="eastAsia" w:ascii="宋体" w:hAnsi="宋体"/>
          <w:color w:val="auto"/>
          <w:szCs w:val="21"/>
          <w:highlight w:val="none"/>
        </w:rPr>
        <w:t>kV进线开关及1</w:t>
      </w:r>
      <w:r>
        <w:rPr>
          <w:rFonts w:ascii="宋体" w:hAnsi="宋体"/>
          <w:color w:val="auto"/>
          <w:szCs w:val="21"/>
          <w:highlight w:val="none"/>
        </w:rPr>
        <w:t>0</w:t>
      </w:r>
      <w:r>
        <w:rPr>
          <w:rFonts w:hint="eastAsia" w:ascii="宋体" w:hAnsi="宋体"/>
          <w:color w:val="auto"/>
          <w:szCs w:val="21"/>
          <w:highlight w:val="none"/>
        </w:rPr>
        <w:t>kV进线开关（含变压器进线）本地/远程控制切换，实现远程控制及监视。</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l） 显示重要设备信号，包括点不限于运行状态，停止状态，故障信号，报警信号，电流，电压等信号。</w:t>
      </w:r>
    </w:p>
    <w:p>
      <w:pPr>
        <w:tabs>
          <w:tab w:val="left" w:pos="2700"/>
        </w:tabs>
        <w:overflowPunct w:val="0"/>
        <w:topLinePunct/>
        <w:spacing w:line="360" w:lineRule="auto"/>
        <w:ind w:firstLine="420" w:firstLineChars="200"/>
        <w:textAlignment w:val="center"/>
        <w:rPr>
          <w:rFonts w:hint="eastAsia" w:ascii="宋体" w:hAnsi="宋体"/>
          <w:color w:val="auto"/>
          <w:szCs w:val="21"/>
          <w:highlight w:val="none"/>
        </w:rPr>
      </w:pPr>
      <w:r>
        <w:rPr>
          <w:rFonts w:ascii="宋体" w:hAnsi="宋体"/>
          <w:color w:val="auto"/>
          <w:szCs w:val="21"/>
          <w:highlight w:val="none"/>
        </w:rPr>
        <w:t>2）</w:t>
      </w:r>
      <w:r>
        <w:rPr>
          <w:rFonts w:hint="eastAsia" w:ascii="宋体" w:hAnsi="宋体"/>
          <w:color w:val="auto"/>
          <w:szCs w:val="21"/>
          <w:highlight w:val="none"/>
        </w:rPr>
        <w:t xml:space="preserve"> </w:t>
      </w:r>
      <w:r>
        <w:rPr>
          <w:rFonts w:ascii="宋体" w:hAnsi="宋体"/>
          <w:color w:val="auto"/>
          <w:szCs w:val="21"/>
          <w:highlight w:val="none"/>
        </w:rPr>
        <w:t>输出方式及要求</w:t>
      </w:r>
      <w:r>
        <w:rPr>
          <w:rFonts w:hint="eastAsia" w:ascii="宋体" w:hAnsi="宋体"/>
          <w:color w:val="auto"/>
          <w:szCs w:val="21"/>
          <w:highlight w:val="none"/>
        </w:rPr>
        <w:t>。</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ascii="宋体" w:hAnsi="宋体"/>
          <w:color w:val="auto"/>
          <w:szCs w:val="21"/>
          <w:highlight w:val="none"/>
        </w:rPr>
        <w:t>a）</w:t>
      </w:r>
      <w:r>
        <w:rPr>
          <w:rFonts w:hint="eastAsia" w:ascii="宋体" w:hAnsi="宋体"/>
          <w:color w:val="auto"/>
          <w:szCs w:val="21"/>
          <w:highlight w:val="none"/>
        </w:rPr>
        <w:t xml:space="preserve"> 电气主接线图中应包括电气量实时值，设备运行状态、潮流方向，断路器、隔离刀闸、地刀位置，“就地/远方”转换开关位置等；</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b） 画面上显示的文字应为中文；</w:t>
      </w:r>
    </w:p>
    <w:p>
      <w:pPr>
        <w:overflowPunct w:val="0"/>
        <w:topLinePunct/>
        <w:snapToGrid w:val="0"/>
        <w:spacing w:line="360" w:lineRule="auto"/>
        <w:ind w:firstLine="420" w:firstLineChars="200"/>
        <w:rPr>
          <w:rFonts w:ascii="宋体" w:hAnsi="宋体"/>
          <w:color w:val="auto"/>
          <w:szCs w:val="21"/>
          <w:highlight w:val="none"/>
        </w:rPr>
      </w:pPr>
      <w:r>
        <w:rPr>
          <w:rStyle w:val="27"/>
          <w:rFonts w:hint="eastAsia" w:ascii="宋体" w:hAnsi="宋体" w:eastAsia="宋体"/>
          <w:color w:val="auto"/>
          <w:highlight w:val="none"/>
        </w:rPr>
        <w:t>1.</w:t>
      </w:r>
      <w:r>
        <w:rPr>
          <w:rStyle w:val="27"/>
          <w:rFonts w:ascii="宋体" w:hAnsi="宋体" w:eastAsia="宋体"/>
          <w:color w:val="auto"/>
          <w:highlight w:val="none"/>
        </w:rPr>
        <w:t>2.</w:t>
      </w:r>
      <w:r>
        <w:rPr>
          <w:rStyle w:val="27"/>
          <w:rFonts w:hint="eastAsia" w:ascii="宋体" w:hAnsi="宋体" w:eastAsia="宋体"/>
          <w:color w:val="auto"/>
          <w:highlight w:val="none"/>
        </w:rPr>
        <w:t>5</w:t>
      </w:r>
      <w:r>
        <w:rPr>
          <w:rStyle w:val="27"/>
          <w:rFonts w:ascii="宋体" w:hAnsi="宋体" w:eastAsia="宋体"/>
          <w:color w:val="auto"/>
          <w:highlight w:val="none"/>
        </w:rPr>
        <w:t>.2.</w:t>
      </w:r>
      <w:r>
        <w:rPr>
          <w:rStyle w:val="27"/>
          <w:rFonts w:hint="eastAsia" w:ascii="宋体" w:hAnsi="宋体" w:eastAsia="宋体"/>
          <w:color w:val="auto"/>
          <w:highlight w:val="none"/>
        </w:rPr>
        <w:t>6</w:t>
      </w:r>
      <w:r>
        <w:rPr>
          <w:rFonts w:ascii="宋体" w:hAnsi="宋体"/>
          <w:color w:val="auto"/>
          <w:szCs w:val="21"/>
          <w:highlight w:val="none"/>
        </w:rPr>
        <w:t xml:space="preserve"> </w:t>
      </w:r>
      <w:r>
        <w:rPr>
          <w:rFonts w:hint="eastAsia" w:ascii="宋体" w:hAnsi="宋体"/>
          <w:color w:val="auto"/>
          <w:szCs w:val="21"/>
          <w:highlight w:val="none"/>
        </w:rPr>
        <w:t xml:space="preserve"> 在线计算及制表</w:t>
      </w:r>
    </w:p>
    <w:p>
      <w:pPr>
        <w:overflowPunct w:val="0"/>
        <w:topLinePunct/>
        <w:spacing w:line="360" w:lineRule="auto"/>
        <w:ind w:firstLine="420" w:firstLineChars="200"/>
        <w:rPr>
          <w:rFonts w:hint="eastAsia" w:ascii="宋体" w:hAnsi="宋体"/>
          <w:color w:val="auto"/>
          <w:szCs w:val="21"/>
          <w:highlight w:val="none"/>
        </w:rPr>
      </w:pPr>
      <w:r>
        <w:rPr>
          <w:rFonts w:ascii="宋体" w:hAnsi="宋体"/>
          <w:color w:val="auto"/>
          <w:szCs w:val="21"/>
          <w:highlight w:val="none"/>
        </w:rPr>
        <w:t>1）</w:t>
      </w:r>
      <w:r>
        <w:rPr>
          <w:rFonts w:hint="eastAsia" w:ascii="宋体" w:hAnsi="宋体"/>
          <w:color w:val="auto"/>
          <w:szCs w:val="21"/>
          <w:highlight w:val="none"/>
        </w:rPr>
        <w:t xml:space="preserve"> </w:t>
      </w:r>
      <w:r>
        <w:rPr>
          <w:rFonts w:ascii="宋体" w:hAnsi="宋体"/>
          <w:color w:val="auto"/>
          <w:szCs w:val="21"/>
          <w:highlight w:val="none"/>
        </w:rPr>
        <w:t>在线计算</w:t>
      </w:r>
      <w:r>
        <w:rPr>
          <w:rFonts w:hint="eastAsia" w:ascii="宋体" w:hAnsi="宋体"/>
          <w:color w:val="auto"/>
          <w:szCs w:val="21"/>
          <w:highlight w:val="none"/>
        </w:rPr>
        <w:t>。</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ascii="宋体" w:hAnsi="宋体"/>
          <w:color w:val="auto"/>
          <w:szCs w:val="21"/>
          <w:highlight w:val="none"/>
        </w:rPr>
        <w:t>a）</w:t>
      </w:r>
      <w:r>
        <w:rPr>
          <w:rFonts w:hint="eastAsia" w:ascii="宋体" w:hAnsi="宋体"/>
          <w:color w:val="auto"/>
          <w:szCs w:val="21"/>
          <w:highlight w:val="none"/>
        </w:rPr>
        <w:t xml:space="preserve"> 系统应向操作人员提供方便的实时计算功能；</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b） 应具有加、减、乘、除、积分、求平均值、求最大最小值和逻辑判断，以及进行功率总加、电量分时累计等计算功能；</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c） 供计算的值可以是采集量、人工输入量或前次计算量，这些计算从数据库取变量数据，并把计算结果返送数据库；</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d） 计算结果应可以处理和显示，并可以对计算结果进行合理性检查；</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e） 应可以由用户用人机交互方式或编程方式定义一些特殊公式，并按用户要求的周期进行计算。</w:t>
      </w:r>
    </w:p>
    <w:p>
      <w:pPr>
        <w:overflowPunct w:val="0"/>
        <w:topLinePunct/>
        <w:spacing w:line="360" w:lineRule="auto"/>
        <w:ind w:firstLine="420" w:firstLineChars="200"/>
        <w:rPr>
          <w:rFonts w:ascii="宋体" w:hAnsi="宋体"/>
          <w:color w:val="auto"/>
          <w:szCs w:val="21"/>
          <w:highlight w:val="none"/>
        </w:rPr>
      </w:pPr>
      <w:r>
        <w:rPr>
          <w:rFonts w:ascii="宋体" w:hAnsi="宋体"/>
          <w:color w:val="auto"/>
          <w:szCs w:val="21"/>
          <w:highlight w:val="none"/>
        </w:rPr>
        <w:t>2）</w:t>
      </w:r>
      <w:r>
        <w:rPr>
          <w:rFonts w:hint="eastAsia" w:ascii="宋体" w:hAnsi="宋体"/>
          <w:color w:val="auto"/>
          <w:szCs w:val="21"/>
          <w:highlight w:val="none"/>
        </w:rPr>
        <w:t xml:space="preserve"> 报表。计算机监控系统应能生成不同格式的生产运行报表。提供的报表包括：</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ascii="宋体" w:hAnsi="宋体"/>
          <w:color w:val="auto"/>
          <w:szCs w:val="21"/>
          <w:highlight w:val="none"/>
        </w:rPr>
        <w:t>a）</w:t>
      </w:r>
      <w:r>
        <w:rPr>
          <w:rFonts w:hint="eastAsia" w:ascii="宋体" w:hAnsi="宋体"/>
          <w:color w:val="auto"/>
          <w:szCs w:val="21"/>
          <w:highlight w:val="none"/>
        </w:rPr>
        <w:tab/>
      </w:r>
      <w:r>
        <w:rPr>
          <w:rFonts w:hint="eastAsia" w:ascii="宋体" w:hAnsi="宋体"/>
          <w:color w:val="auto"/>
          <w:szCs w:val="21"/>
          <w:highlight w:val="none"/>
        </w:rPr>
        <w:t>实时值表；</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b）</w:t>
      </w:r>
      <w:r>
        <w:rPr>
          <w:rFonts w:hint="eastAsia" w:ascii="宋体" w:hAnsi="宋体"/>
          <w:color w:val="auto"/>
          <w:szCs w:val="21"/>
          <w:highlight w:val="none"/>
        </w:rPr>
        <w:tab/>
      </w:r>
      <w:r>
        <w:rPr>
          <w:rFonts w:hint="eastAsia" w:ascii="宋体" w:hAnsi="宋体"/>
          <w:color w:val="auto"/>
          <w:szCs w:val="21"/>
          <w:highlight w:val="none"/>
        </w:rPr>
        <w:t>正点值表；</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c）</w:t>
      </w:r>
      <w:r>
        <w:rPr>
          <w:rFonts w:hint="eastAsia" w:ascii="宋体" w:hAnsi="宋体"/>
          <w:color w:val="auto"/>
          <w:szCs w:val="21"/>
          <w:highlight w:val="none"/>
        </w:rPr>
        <w:tab/>
      </w:r>
      <w:r>
        <w:rPr>
          <w:rFonts w:hint="eastAsia" w:ascii="宋体" w:hAnsi="宋体"/>
          <w:color w:val="auto"/>
          <w:szCs w:val="21"/>
          <w:highlight w:val="none"/>
        </w:rPr>
        <w:t>事件顺序记录一览表；</w:t>
      </w:r>
    </w:p>
    <w:p>
      <w:pPr>
        <w:autoSpaceDE w:val="0"/>
        <w:autoSpaceDN w:val="0"/>
        <w:adjustRightInd w:val="0"/>
        <w:spacing w:line="360" w:lineRule="auto"/>
        <w:ind w:left="420" w:firstLine="420" w:firstLineChars="200"/>
        <w:rPr>
          <w:rFonts w:hint="eastAsia" w:ascii="宋体" w:hAnsi="宋体"/>
          <w:color w:val="auto"/>
          <w:szCs w:val="21"/>
          <w:highlight w:val="none"/>
        </w:rPr>
      </w:pPr>
      <w:r>
        <w:rPr>
          <w:rFonts w:hint="eastAsia" w:ascii="宋体" w:hAnsi="宋体"/>
          <w:color w:val="auto"/>
          <w:szCs w:val="21"/>
          <w:highlight w:val="none"/>
        </w:rPr>
        <w:t>f）</w:t>
      </w:r>
      <w:r>
        <w:rPr>
          <w:rFonts w:hint="eastAsia" w:ascii="宋体" w:hAnsi="宋体"/>
          <w:color w:val="auto"/>
          <w:szCs w:val="21"/>
          <w:highlight w:val="none"/>
        </w:rPr>
        <w:tab/>
      </w:r>
      <w:r>
        <w:rPr>
          <w:rFonts w:hint="eastAsia" w:ascii="宋体" w:hAnsi="宋体"/>
          <w:color w:val="auto"/>
          <w:szCs w:val="21"/>
          <w:highlight w:val="none"/>
        </w:rPr>
        <w:t>报警记录一览表；</w:t>
      </w:r>
    </w:p>
    <w:p>
      <w:pPr>
        <w:tabs>
          <w:tab w:val="left" w:pos="2700"/>
        </w:tabs>
        <w:overflowPunct w:val="0"/>
        <w:topLinePunct/>
        <w:spacing w:line="360" w:lineRule="auto"/>
        <w:ind w:firstLine="420" w:firstLineChars="200"/>
        <w:textAlignment w:val="center"/>
        <w:rPr>
          <w:rFonts w:hint="eastAsia" w:ascii="宋体" w:hAnsi="宋体"/>
          <w:color w:val="auto"/>
          <w:szCs w:val="21"/>
          <w:highlight w:val="none"/>
        </w:rPr>
      </w:pPr>
      <w:r>
        <w:rPr>
          <w:rFonts w:ascii="宋体" w:hAnsi="宋体"/>
          <w:color w:val="auto"/>
          <w:szCs w:val="21"/>
          <w:highlight w:val="none"/>
        </w:rPr>
        <w:t>3）</w:t>
      </w:r>
      <w:r>
        <w:rPr>
          <w:rFonts w:hint="eastAsia" w:ascii="宋体" w:hAnsi="宋体"/>
          <w:color w:val="auto"/>
          <w:szCs w:val="21"/>
          <w:highlight w:val="none"/>
        </w:rPr>
        <w:t xml:space="preserve"> </w:t>
      </w:r>
      <w:r>
        <w:rPr>
          <w:rFonts w:ascii="宋体" w:hAnsi="宋体"/>
          <w:color w:val="auto"/>
          <w:szCs w:val="21"/>
          <w:highlight w:val="none"/>
        </w:rPr>
        <w:t>输出方式及要求</w:t>
      </w:r>
      <w:r>
        <w:rPr>
          <w:rFonts w:hint="eastAsia" w:ascii="宋体" w:hAnsi="宋体"/>
          <w:color w:val="auto"/>
          <w:szCs w:val="21"/>
          <w:highlight w:val="none"/>
        </w:rPr>
        <w:t>。</w:t>
      </w:r>
    </w:p>
    <w:p>
      <w:pPr>
        <w:tabs>
          <w:tab w:val="left" w:pos="2700"/>
        </w:tabs>
        <w:overflowPunct w:val="0"/>
        <w:topLinePunct/>
        <w:spacing w:line="360" w:lineRule="auto"/>
        <w:ind w:firstLine="420" w:firstLineChars="200"/>
        <w:textAlignment w:val="center"/>
        <w:rPr>
          <w:rFonts w:ascii="宋体" w:hAnsi="宋体"/>
          <w:color w:val="auto"/>
          <w:szCs w:val="21"/>
          <w:highlight w:val="none"/>
        </w:rPr>
      </w:pPr>
      <w:r>
        <w:rPr>
          <w:rFonts w:ascii="宋体" w:hAnsi="宋体"/>
          <w:color w:val="auto"/>
          <w:szCs w:val="21"/>
          <w:highlight w:val="none"/>
        </w:rPr>
        <w:t>a）</w:t>
      </w:r>
      <w:r>
        <w:rPr>
          <w:rFonts w:hint="eastAsia" w:ascii="宋体" w:hAnsi="宋体"/>
          <w:color w:val="auto"/>
          <w:szCs w:val="21"/>
          <w:highlight w:val="none"/>
        </w:rPr>
        <w:t xml:space="preserve"> </w:t>
      </w:r>
      <w:r>
        <w:rPr>
          <w:rFonts w:ascii="宋体" w:hAnsi="宋体"/>
          <w:color w:val="auto"/>
          <w:szCs w:val="21"/>
          <w:highlight w:val="none"/>
        </w:rPr>
        <w:t>实时及定时显示；</w:t>
      </w:r>
    </w:p>
    <w:p>
      <w:pPr>
        <w:tabs>
          <w:tab w:val="left" w:pos="2700"/>
        </w:tabs>
        <w:overflowPunct w:val="0"/>
        <w:topLinePunct/>
        <w:spacing w:line="360" w:lineRule="auto"/>
        <w:ind w:firstLine="420" w:firstLineChars="200"/>
        <w:textAlignment w:val="center"/>
        <w:rPr>
          <w:rFonts w:ascii="宋体" w:hAnsi="宋体"/>
          <w:color w:val="auto"/>
          <w:szCs w:val="21"/>
          <w:highlight w:val="none"/>
        </w:rPr>
      </w:pPr>
      <w:r>
        <w:rPr>
          <w:rFonts w:ascii="宋体" w:hAnsi="宋体"/>
          <w:color w:val="auto"/>
          <w:szCs w:val="21"/>
          <w:highlight w:val="none"/>
        </w:rPr>
        <w:t>b）</w:t>
      </w:r>
      <w:r>
        <w:rPr>
          <w:rFonts w:hint="eastAsia" w:ascii="宋体" w:hAnsi="宋体"/>
          <w:color w:val="auto"/>
          <w:szCs w:val="21"/>
          <w:highlight w:val="none"/>
        </w:rPr>
        <w:t xml:space="preserve"> </w:t>
      </w:r>
      <w:r>
        <w:rPr>
          <w:rFonts w:ascii="宋体" w:hAnsi="宋体"/>
          <w:color w:val="auto"/>
          <w:szCs w:val="21"/>
          <w:highlight w:val="none"/>
        </w:rPr>
        <w:t>召唤及定时打印；</w:t>
      </w:r>
    </w:p>
    <w:p>
      <w:pPr>
        <w:tabs>
          <w:tab w:val="left" w:pos="2700"/>
        </w:tabs>
        <w:overflowPunct w:val="0"/>
        <w:topLinePunct/>
        <w:spacing w:line="360" w:lineRule="auto"/>
        <w:ind w:firstLine="420" w:firstLineChars="200"/>
        <w:textAlignment w:val="center"/>
        <w:rPr>
          <w:rFonts w:ascii="宋体" w:hAnsi="宋体"/>
          <w:color w:val="auto"/>
          <w:szCs w:val="21"/>
          <w:highlight w:val="none"/>
        </w:rPr>
      </w:pPr>
      <w:r>
        <w:rPr>
          <w:rFonts w:ascii="宋体" w:hAnsi="宋体"/>
          <w:color w:val="auto"/>
          <w:szCs w:val="21"/>
          <w:highlight w:val="none"/>
        </w:rPr>
        <w:t>c）</w:t>
      </w:r>
      <w:r>
        <w:rPr>
          <w:rFonts w:hint="eastAsia" w:ascii="宋体" w:hAnsi="宋体"/>
          <w:color w:val="auto"/>
          <w:szCs w:val="21"/>
          <w:highlight w:val="none"/>
        </w:rPr>
        <w:t xml:space="preserve"> </w:t>
      </w:r>
      <w:r>
        <w:rPr>
          <w:rFonts w:ascii="宋体" w:hAnsi="宋体"/>
          <w:color w:val="auto"/>
          <w:szCs w:val="21"/>
          <w:highlight w:val="none"/>
        </w:rPr>
        <w:t>生产运行报表应能由用户编辑、修改、定义、增加和减少；</w:t>
      </w:r>
    </w:p>
    <w:p>
      <w:pPr>
        <w:tabs>
          <w:tab w:val="left" w:pos="2700"/>
        </w:tabs>
        <w:overflowPunct w:val="0"/>
        <w:topLinePunct/>
        <w:spacing w:line="360" w:lineRule="auto"/>
        <w:ind w:firstLine="420" w:firstLineChars="200"/>
        <w:textAlignment w:val="center"/>
        <w:rPr>
          <w:rFonts w:ascii="宋体" w:hAnsi="宋体"/>
          <w:color w:val="auto"/>
          <w:szCs w:val="21"/>
          <w:highlight w:val="none"/>
        </w:rPr>
      </w:pPr>
      <w:r>
        <w:rPr>
          <w:rFonts w:ascii="宋体" w:hAnsi="宋体"/>
          <w:color w:val="auto"/>
          <w:szCs w:val="21"/>
          <w:highlight w:val="none"/>
        </w:rPr>
        <w:t>d）</w:t>
      </w:r>
      <w:r>
        <w:rPr>
          <w:rFonts w:hint="eastAsia" w:ascii="宋体" w:hAnsi="宋体"/>
          <w:color w:val="auto"/>
          <w:szCs w:val="21"/>
          <w:highlight w:val="none"/>
        </w:rPr>
        <w:t xml:space="preserve"> </w:t>
      </w:r>
      <w:r>
        <w:rPr>
          <w:rFonts w:ascii="宋体" w:hAnsi="宋体"/>
          <w:color w:val="auto"/>
          <w:szCs w:val="21"/>
          <w:highlight w:val="none"/>
        </w:rPr>
        <w:t>报表应按时间顺序存储，报表的保存量应满足运行要求。</w:t>
      </w:r>
    </w:p>
    <w:p>
      <w:pPr>
        <w:overflowPunct w:val="0"/>
        <w:topLinePunct/>
        <w:snapToGrid w:val="0"/>
        <w:spacing w:line="360" w:lineRule="auto"/>
        <w:ind w:firstLine="420" w:firstLineChars="200"/>
        <w:rPr>
          <w:rFonts w:ascii="宋体" w:hAnsi="宋体"/>
          <w:color w:val="auto"/>
          <w:szCs w:val="21"/>
          <w:highlight w:val="none"/>
        </w:rPr>
      </w:pPr>
      <w:r>
        <w:rPr>
          <w:rStyle w:val="27"/>
          <w:rFonts w:hint="eastAsia" w:ascii="宋体" w:hAnsi="宋体" w:eastAsia="宋体"/>
          <w:color w:val="auto"/>
          <w:highlight w:val="none"/>
        </w:rPr>
        <w:t>1.</w:t>
      </w:r>
      <w:r>
        <w:rPr>
          <w:rStyle w:val="27"/>
          <w:rFonts w:ascii="宋体" w:hAnsi="宋体" w:eastAsia="宋体"/>
          <w:color w:val="auto"/>
          <w:highlight w:val="none"/>
        </w:rPr>
        <w:t>2.</w:t>
      </w:r>
      <w:r>
        <w:rPr>
          <w:rStyle w:val="27"/>
          <w:rFonts w:hint="eastAsia" w:ascii="宋体" w:hAnsi="宋体" w:eastAsia="宋体"/>
          <w:color w:val="auto"/>
          <w:highlight w:val="none"/>
        </w:rPr>
        <w:t>5</w:t>
      </w:r>
      <w:r>
        <w:rPr>
          <w:rStyle w:val="27"/>
          <w:rFonts w:ascii="宋体" w:hAnsi="宋体" w:eastAsia="宋体"/>
          <w:color w:val="auto"/>
          <w:highlight w:val="none"/>
        </w:rPr>
        <w:t>.2.</w:t>
      </w:r>
      <w:r>
        <w:rPr>
          <w:rStyle w:val="27"/>
          <w:rFonts w:hint="eastAsia" w:ascii="宋体" w:hAnsi="宋体" w:eastAsia="宋体"/>
          <w:color w:val="auto"/>
          <w:highlight w:val="none"/>
        </w:rPr>
        <w:t>7</w:t>
      </w:r>
      <w:r>
        <w:rPr>
          <w:rFonts w:hint="eastAsia" w:ascii="宋体" w:hAnsi="宋体"/>
          <w:color w:val="auto"/>
          <w:szCs w:val="21"/>
          <w:highlight w:val="none"/>
        </w:rPr>
        <w:t xml:space="preserve"> </w:t>
      </w:r>
      <w:r>
        <w:rPr>
          <w:rFonts w:ascii="宋体" w:hAnsi="宋体"/>
          <w:color w:val="auto"/>
          <w:szCs w:val="21"/>
          <w:highlight w:val="none"/>
        </w:rPr>
        <w:t xml:space="preserve"> </w:t>
      </w:r>
      <w:r>
        <w:rPr>
          <w:rFonts w:hint="eastAsia" w:ascii="宋体" w:hAnsi="宋体"/>
          <w:color w:val="auto"/>
          <w:szCs w:val="21"/>
          <w:highlight w:val="none"/>
        </w:rPr>
        <w:t>时间同步</w:t>
      </w:r>
    </w:p>
    <w:p>
      <w:pPr>
        <w:overflowPunct w:val="0"/>
        <w:topLinePunct/>
        <w:spacing w:line="360" w:lineRule="auto"/>
        <w:ind w:firstLine="420" w:firstLineChars="200"/>
        <w:rPr>
          <w:rFonts w:hint="eastAsia" w:ascii="宋体" w:hAnsi="宋体"/>
          <w:color w:val="auto"/>
          <w:szCs w:val="21"/>
          <w:highlight w:val="none"/>
        </w:rPr>
      </w:pPr>
      <w:r>
        <w:rPr>
          <w:rFonts w:ascii="宋体" w:hAnsi="宋体"/>
          <w:color w:val="auto"/>
          <w:szCs w:val="21"/>
          <w:highlight w:val="none"/>
        </w:rPr>
        <w:t>计算机监控系统设备应从站内时间同步系统获得授时（对时）信号，保证</w:t>
      </w:r>
      <w:r>
        <w:rPr>
          <w:rFonts w:hint="eastAsia" w:ascii="宋体" w:hAnsi="宋体"/>
          <w:color w:val="auto"/>
          <w:szCs w:val="21"/>
          <w:highlight w:val="none"/>
        </w:rPr>
        <w:t>保护测控装置</w:t>
      </w:r>
      <w:r>
        <w:rPr>
          <w:rFonts w:ascii="宋体" w:hAnsi="宋体"/>
          <w:color w:val="auto"/>
          <w:szCs w:val="21"/>
          <w:highlight w:val="none"/>
        </w:rPr>
        <w:t>的时间同步达到1ms精度要求。计算机监控系统站控层设备优先采用</w:t>
      </w:r>
      <w:r>
        <w:rPr>
          <w:rFonts w:hint="eastAsia" w:ascii="宋体" w:hAnsi="宋体"/>
          <w:color w:val="auto"/>
          <w:szCs w:val="21"/>
          <w:highlight w:val="none"/>
        </w:rPr>
        <w:t>S</w:t>
      </w:r>
      <w:r>
        <w:rPr>
          <w:rFonts w:ascii="宋体" w:hAnsi="宋体"/>
          <w:color w:val="auto"/>
          <w:szCs w:val="21"/>
          <w:highlight w:val="none"/>
        </w:rPr>
        <w:t>NTP对时方式，间隔层设备的对时接口选用</w:t>
      </w:r>
      <w:r>
        <w:rPr>
          <w:rFonts w:hint="eastAsia" w:ascii="宋体" w:hAnsi="宋体"/>
          <w:color w:val="auto"/>
          <w:szCs w:val="21"/>
          <w:highlight w:val="none"/>
        </w:rPr>
        <w:t>S</w:t>
      </w:r>
      <w:r>
        <w:rPr>
          <w:rFonts w:ascii="宋体" w:hAnsi="宋体"/>
          <w:color w:val="auto"/>
          <w:szCs w:val="21"/>
          <w:highlight w:val="none"/>
        </w:rPr>
        <w:t>NTP对时方式</w:t>
      </w:r>
      <w:r>
        <w:rPr>
          <w:rFonts w:hint="eastAsia" w:ascii="宋体" w:hAnsi="宋体"/>
          <w:color w:val="auto"/>
          <w:szCs w:val="21"/>
          <w:highlight w:val="none"/>
        </w:rPr>
        <w:t>，采用GPS和北斗双星对时方式</w:t>
      </w:r>
      <w:r>
        <w:rPr>
          <w:rFonts w:ascii="宋体" w:hAnsi="宋体"/>
          <w:color w:val="auto"/>
          <w:szCs w:val="21"/>
          <w:highlight w:val="none"/>
        </w:rPr>
        <w:t>。</w:t>
      </w:r>
    </w:p>
    <w:p>
      <w:pPr>
        <w:overflowPunct w:val="0"/>
        <w:topLinePunct/>
        <w:snapToGrid w:val="0"/>
        <w:spacing w:line="360" w:lineRule="auto"/>
        <w:ind w:firstLine="420" w:firstLineChars="200"/>
        <w:rPr>
          <w:rFonts w:ascii="宋体" w:hAnsi="宋体"/>
          <w:color w:val="auto"/>
          <w:szCs w:val="21"/>
          <w:highlight w:val="none"/>
        </w:rPr>
      </w:pPr>
      <w:r>
        <w:rPr>
          <w:rStyle w:val="27"/>
          <w:rFonts w:hint="eastAsia" w:ascii="宋体" w:hAnsi="宋体" w:eastAsia="宋体"/>
          <w:color w:val="auto"/>
          <w:highlight w:val="none"/>
        </w:rPr>
        <w:t>1.</w:t>
      </w:r>
      <w:r>
        <w:rPr>
          <w:rStyle w:val="27"/>
          <w:rFonts w:ascii="宋体" w:hAnsi="宋体" w:eastAsia="宋体"/>
          <w:color w:val="auto"/>
          <w:highlight w:val="none"/>
        </w:rPr>
        <w:t>2.</w:t>
      </w:r>
      <w:r>
        <w:rPr>
          <w:rStyle w:val="27"/>
          <w:rFonts w:hint="eastAsia" w:ascii="宋体" w:hAnsi="宋体" w:eastAsia="宋体"/>
          <w:color w:val="auto"/>
          <w:highlight w:val="none"/>
        </w:rPr>
        <w:t>5</w:t>
      </w:r>
      <w:r>
        <w:rPr>
          <w:rStyle w:val="27"/>
          <w:rFonts w:ascii="宋体" w:hAnsi="宋体" w:eastAsia="宋体"/>
          <w:color w:val="auto"/>
          <w:highlight w:val="none"/>
        </w:rPr>
        <w:t>.2.</w:t>
      </w:r>
      <w:r>
        <w:rPr>
          <w:rStyle w:val="27"/>
          <w:rFonts w:hint="eastAsia" w:ascii="宋体" w:hAnsi="宋体" w:eastAsia="宋体"/>
          <w:color w:val="auto"/>
          <w:highlight w:val="none"/>
        </w:rPr>
        <w:t>8</w:t>
      </w:r>
      <w:r>
        <w:rPr>
          <w:rFonts w:ascii="宋体" w:hAnsi="宋体"/>
          <w:color w:val="auto"/>
          <w:szCs w:val="21"/>
          <w:highlight w:val="none"/>
        </w:rPr>
        <w:t xml:space="preserve"> </w:t>
      </w:r>
      <w:r>
        <w:rPr>
          <w:rFonts w:hint="eastAsia" w:ascii="宋体" w:hAnsi="宋体"/>
          <w:color w:val="auto"/>
          <w:szCs w:val="21"/>
          <w:highlight w:val="none"/>
        </w:rPr>
        <w:t xml:space="preserve"> 人—机联系</w:t>
      </w:r>
    </w:p>
    <w:p>
      <w:pPr>
        <w:tabs>
          <w:tab w:val="left" w:pos="2700"/>
        </w:tabs>
        <w:overflowPunct w:val="0"/>
        <w:topLinePunct/>
        <w:spacing w:line="360" w:lineRule="auto"/>
        <w:ind w:firstLine="420" w:firstLineChars="200"/>
        <w:textAlignment w:val="center"/>
        <w:rPr>
          <w:rFonts w:ascii="宋体" w:hAnsi="宋体"/>
          <w:color w:val="auto"/>
          <w:szCs w:val="21"/>
          <w:highlight w:val="none"/>
        </w:rPr>
      </w:pPr>
      <w:r>
        <w:rPr>
          <w:rFonts w:ascii="宋体" w:hAnsi="宋体"/>
          <w:color w:val="auto"/>
          <w:szCs w:val="21"/>
          <w:highlight w:val="none"/>
        </w:rPr>
        <w:t>人—机联系是值班员与计算机对话的窗口，值班员可借助鼠标或键盘方便地在屏幕上与计算机对话。人—机联系包括：</w:t>
      </w:r>
    </w:p>
    <w:p>
      <w:pPr>
        <w:numPr>
          <w:ilvl w:val="0"/>
          <w:numId w:val="24"/>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调用、显示和拷贝各种图形、曲线、报表；</w:t>
      </w:r>
    </w:p>
    <w:p>
      <w:pPr>
        <w:numPr>
          <w:ilvl w:val="0"/>
          <w:numId w:val="24"/>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发出操作控制命令；</w:t>
      </w:r>
    </w:p>
    <w:p>
      <w:pPr>
        <w:numPr>
          <w:ilvl w:val="0"/>
          <w:numId w:val="24"/>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数据库定义和修改；</w:t>
      </w:r>
    </w:p>
    <w:p>
      <w:pPr>
        <w:numPr>
          <w:ilvl w:val="0"/>
          <w:numId w:val="24"/>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各种应用程序的参数定义和修改；</w:t>
      </w:r>
    </w:p>
    <w:p>
      <w:pPr>
        <w:numPr>
          <w:ilvl w:val="0"/>
          <w:numId w:val="24"/>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查看历史数值以及各项定值；</w:t>
      </w:r>
    </w:p>
    <w:p>
      <w:pPr>
        <w:numPr>
          <w:ilvl w:val="0"/>
          <w:numId w:val="24"/>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图形及报表的生成、修改、打印；</w:t>
      </w:r>
    </w:p>
    <w:p>
      <w:pPr>
        <w:numPr>
          <w:ilvl w:val="0"/>
          <w:numId w:val="24"/>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报警确认，报警点的退出/恢复；</w:t>
      </w:r>
    </w:p>
    <w:p>
      <w:pPr>
        <w:numPr>
          <w:ilvl w:val="0"/>
          <w:numId w:val="24"/>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日期和时钟的设置；</w:t>
      </w:r>
    </w:p>
    <w:p>
      <w:pPr>
        <w:numPr>
          <w:ilvl w:val="0"/>
          <w:numId w:val="24"/>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运行文件的编辑、制作；</w:t>
      </w:r>
    </w:p>
    <w:p>
      <w:pPr>
        <w:numPr>
          <w:ilvl w:val="0"/>
          <w:numId w:val="24"/>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主接线图人工置数功能；</w:t>
      </w:r>
    </w:p>
    <w:p>
      <w:pPr>
        <w:numPr>
          <w:ilvl w:val="0"/>
          <w:numId w:val="24"/>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主接线图人工置位功能；</w:t>
      </w:r>
    </w:p>
    <w:p>
      <w:pPr>
        <w:numPr>
          <w:ilvl w:val="0"/>
          <w:numId w:val="24"/>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计算机监控系统主机上应有系统硬件设备配置图，该配置图能反映所有连接进系统的硬件设备的运行状态。</w:t>
      </w:r>
    </w:p>
    <w:p>
      <w:pPr>
        <w:overflowPunct w:val="0"/>
        <w:topLinePunct/>
        <w:snapToGrid w:val="0"/>
        <w:spacing w:line="360" w:lineRule="auto"/>
        <w:ind w:firstLine="420" w:firstLineChars="200"/>
        <w:rPr>
          <w:rFonts w:ascii="宋体" w:hAnsi="宋体"/>
          <w:color w:val="auto"/>
          <w:szCs w:val="21"/>
          <w:highlight w:val="none"/>
        </w:rPr>
      </w:pPr>
      <w:r>
        <w:rPr>
          <w:rStyle w:val="27"/>
          <w:rFonts w:hint="eastAsia" w:ascii="宋体" w:hAnsi="宋体" w:eastAsia="宋体"/>
          <w:color w:val="auto"/>
          <w:highlight w:val="none"/>
        </w:rPr>
        <w:t>1.</w:t>
      </w:r>
      <w:r>
        <w:rPr>
          <w:rStyle w:val="27"/>
          <w:rFonts w:ascii="宋体" w:hAnsi="宋体" w:eastAsia="宋体"/>
          <w:color w:val="auto"/>
          <w:highlight w:val="none"/>
        </w:rPr>
        <w:t>2.</w:t>
      </w:r>
      <w:r>
        <w:rPr>
          <w:rStyle w:val="27"/>
          <w:rFonts w:hint="eastAsia" w:ascii="宋体" w:hAnsi="宋体" w:eastAsia="宋体"/>
          <w:color w:val="auto"/>
          <w:highlight w:val="none"/>
        </w:rPr>
        <w:t>5</w:t>
      </w:r>
      <w:r>
        <w:rPr>
          <w:rStyle w:val="27"/>
          <w:rFonts w:ascii="宋体" w:hAnsi="宋体" w:eastAsia="宋体"/>
          <w:color w:val="auto"/>
          <w:highlight w:val="none"/>
        </w:rPr>
        <w:t>.2.</w:t>
      </w:r>
      <w:r>
        <w:rPr>
          <w:rStyle w:val="27"/>
          <w:rFonts w:hint="eastAsia" w:ascii="宋体" w:hAnsi="宋体" w:eastAsia="宋体"/>
          <w:color w:val="auto"/>
          <w:highlight w:val="none"/>
        </w:rPr>
        <w:t>9</w:t>
      </w:r>
      <w:r>
        <w:rPr>
          <w:rFonts w:hint="eastAsia" w:ascii="宋体" w:hAnsi="宋体"/>
          <w:color w:val="auto"/>
          <w:szCs w:val="21"/>
          <w:highlight w:val="none"/>
        </w:rPr>
        <w:t xml:space="preserve"> </w:t>
      </w:r>
      <w:r>
        <w:rPr>
          <w:rFonts w:ascii="宋体" w:hAnsi="宋体"/>
          <w:color w:val="auto"/>
          <w:szCs w:val="21"/>
          <w:highlight w:val="none"/>
        </w:rPr>
        <w:t xml:space="preserve"> </w:t>
      </w:r>
      <w:r>
        <w:rPr>
          <w:rFonts w:hint="eastAsia" w:ascii="宋体" w:hAnsi="宋体"/>
          <w:color w:val="auto"/>
          <w:szCs w:val="21"/>
          <w:highlight w:val="none"/>
        </w:rPr>
        <w:t>系统自诊断和自恢复</w:t>
      </w:r>
    </w:p>
    <w:p>
      <w:pPr>
        <w:tabs>
          <w:tab w:val="left" w:pos="2700"/>
        </w:tabs>
        <w:overflowPunct w:val="0"/>
        <w:topLinePunct/>
        <w:spacing w:line="360" w:lineRule="auto"/>
        <w:ind w:firstLine="420" w:firstLineChars="200"/>
        <w:textAlignment w:val="center"/>
        <w:rPr>
          <w:rFonts w:ascii="宋体" w:hAnsi="宋体"/>
          <w:color w:val="auto"/>
          <w:szCs w:val="21"/>
          <w:highlight w:val="none"/>
        </w:rPr>
      </w:pPr>
      <w:r>
        <w:rPr>
          <w:rFonts w:ascii="宋体" w:hAnsi="宋体"/>
          <w:color w:val="auto"/>
          <w:szCs w:val="21"/>
          <w:highlight w:val="none"/>
        </w:rPr>
        <w:t>变电站负责管理系统的工程师可通过工程师工作站对整个计算机监控系统的所有设备进行的诊断、管理、维护、扩充等工作。系统应具有可维护性，容错能力及远方登录服务功能。</w:t>
      </w:r>
    </w:p>
    <w:p>
      <w:pPr>
        <w:overflowPunct w:val="0"/>
        <w:topLinePunct/>
        <w:snapToGrid w:val="0"/>
        <w:spacing w:line="360" w:lineRule="auto"/>
        <w:ind w:firstLine="420" w:firstLineChars="200"/>
        <w:rPr>
          <w:rFonts w:ascii="宋体" w:hAnsi="宋体"/>
          <w:color w:val="auto"/>
          <w:szCs w:val="21"/>
          <w:highlight w:val="none"/>
        </w:rPr>
      </w:pPr>
      <w:r>
        <w:rPr>
          <w:rStyle w:val="27"/>
          <w:rFonts w:hint="eastAsia" w:ascii="宋体" w:hAnsi="宋体" w:eastAsia="宋体"/>
          <w:color w:val="auto"/>
          <w:highlight w:val="none"/>
        </w:rPr>
        <w:t>1.</w:t>
      </w:r>
      <w:r>
        <w:rPr>
          <w:rStyle w:val="27"/>
          <w:rFonts w:ascii="宋体" w:hAnsi="宋体" w:eastAsia="宋体"/>
          <w:color w:val="auto"/>
          <w:highlight w:val="none"/>
        </w:rPr>
        <w:t>2.</w:t>
      </w:r>
      <w:r>
        <w:rPr>
          <w:rStyle w:val="27"/>
          <w:rFonts w:hint="eastAsia" w:ascii="宋体" w:hAnsi="宋体" w:eastAsia="宋体"/>
          <w:color w:val="auto"/>
          <w:highlight w:val="none"/>
        </w:rPr>
        <w:t>5</w:t>
      </w:r>
      <w:r>
        <w:rPr>
          <w:rStyle w:val="27"/>
          <w:rFonts w:ascii="宋体" w:hAnsi="宋体" w:eastAsia="宋体"/>
          <w:color w:val="auto"/>
          <w:highlight w:val="none"/>
        </w:rPr>
        <w:t>.2.1</w:t>
      </w:r>
      <w:r>
        <w:rPr>
          <w:rStyle w:val="27"/>
          <w:rFonts w:hint="eastAsia" w:ascii="宋体" w:hAnsi="宋体" w:eastAsia="宋体"/>
          <w:color w:val="auto"/>
          <w:highlight w:val="none"/>
        </w:rPr>
        <w:t>0</w:t>
      </w:r>
      <w:r>
        <w:rPr>
          <w:rFonts w:hint="eastAsia" w:ascii="宋体" w:hAnsi="宋体"/>
          <w:color w:val="auto"/>
          <w:szCs w:val="21"/>
          <w:highlight w:val="none"/>
        </w:rPr>
        <w:t xml:space="preserve"> </w:t>
      </w:r>
      <w:r>
        <w:rPr>
          <w:rFonts w:ascii="宋体" w:hAnsi="宋体"/>
          <w:color w:val="auto"/>
          <w:szCs w:val="21"/>
          <w:highlight w:val="none"/>
        </w:rPr>
        <w:t xml:space="preserve"> </w:t>
      </w:r>
      <w:r>
        <w:rPr>
          <w:rFonts w:hint="eastAsia" w:ascii="宋体" w:hAnsi="宋体"/>
          <w:color w:val="auto"/>
          <w:szCs w:val="21"/>
          <w:highlight w:val="none"/>
        </w:rPr>
        <w:t>与其他设备的通信接口</w:t>
      </w:r>
    </w:p>
    <w:p>
      <w:pPr>
        <w:tabs>
          <w:tab w:val="left" w:pos="2700"/>
        </w:tabs>
        <w:overflowPunct w:val="0"/>
        <w:topLinePunct/>
        <w:spacing w:line="360" w:lineRule="auto"/>
        <w:ind w:firstLine="420" w:firstLineChars="200"/>
        <w:textAlignment w:val="center"/>
        <w:rPr>
          <w:rFonts w:ascii="宋体" w:hAnsi="宋体"/>
          <w:color w:val="auto"/>
          <w:szCs w:val="21"/>
          <w:highlight w:val="none"/>
        </w:rPr>
      </w:pPr>
      <w:r>
        <w:rPr>
          <w:rFonts w:hint="eastAsia" w:ascii="宋体" w:hAnsi="宋体"/>
          <w:color w:val="auto"/>
          <w:szCs w:val="21"/>
          <w:highlight w:val="none"/>
        </w:rPr>
        <w:t>1</w:t>
      </w:r>
      <w:r>
        <w:rPr>
          <w:rFonts w:ascii="宋体" w:hAnsi="宋体"/>
          <w:color w:val="auto"/>
          <w:szCs w:val="21"/>
          <w:highlight w:val="none"/>
        </w:rPr>
        <w:t>）</w:t>
      </w:r>
      <w:r>
        <w:rPr>
          <w:rFonts w:hint="eastAsia" w:ascii="宋体" w:hAnsi="宋体"/>
          <w:color w:val="auto"/>
          <w:szCs w:val="21"/>
          <w:highlight w:val="none"/>
        </w:rPr>
        <w:t xml:space="preserve"> </w:t>
      </w:r>
      <w:r>
        <w:rPr>
          <w:rFonts w:ascii="宋体" w:hAnsi="宋体"/>
          <w:color w:val="auto"/>
          <w:szCs w:val="21"/>
          <w:highlight w:val="none"/>
        </w:rPr>
        <w:t>计算机监控系统与保护测控一体化装置（</w:t>
      </w:r>
      <w:r>
        <w:rPr>
          <w:rFonts w:hint="eastAsia" w:ascii="宋体" w:hAnsi="宋体"/>
          <w:color w:val="auto"/>
          <w:szCs w:val="21"/>
          <w:highlight w:val="none"/>
        </w:rPr>
        <w:t>10</w:t>
      </w:r>
      <w:r>
        <w:rPr>
          <w:rFonts w:ascii="宋体" w:hAnsi="宋体"/>
          <w:color w:val="auto"/>
          <w:szCs w:val="21"/>
          <w:highlight w:val="none"/>
        </w:rPr>
        <w:t>kV及以下）的通信接口</w:t>
      </w:r>
      <w:r>
        <w:rPr>
          <w:rFonts w:hint="eastAsia" w:ascii="宋体" w:hAnsi="宋体"/>
          <w:color w:val="auto"/>
          <w:szCs w:val="21"/>
          <w:highlight w:val="none"/>
        </w:rPr>
        <w:t>。</w:t>
      </w:r>
      <w:r>
        <w:rPr>
          <w:rFonts w:ascii="宋体" w:hAnsi="宋体"/>
          <w:color w:val="auto"/>
          <w:szCs w:val="21"/>
          <w:highlight w:val="none"/>
        </w:rPr>
        <w:t>计算机监控系统</w:t>
      </w:r>
      <w:r>
        <w:rPr>
          <w:rFonts w:hint="eastAsia" w:ascii="宋体" w:hAnsi="宋体"/>
          <w:color w:val="auto"/>
          <w:szCs w:val="21"/>
          <w:highlight w:val="none"/>
        </w:rPr>
        <w:t>通过光纤IEC61850接口</w:t>
      </w:r>
      <w:r>
        <w:rPr>
          <w:rFonts w:ascii="宋体" w:hAnsi="宋体"/>
          <w:color w:val="auto"/>
          <w:szCs w:val="21"/>
          <w:highlight w:val="none"/>
        </w:rPr>
        <w:t>的方式与保护测控一体化装置（</w:t>
      </w:r>
      <w:r>
        <w:rPr>
          <w:rFonts w:hint="eastAsia" w:ascii="宋体" w:hAnsi="宋体"/>
          <w:color w:val="auto"/>
          <w:szCs w:val="21"/>
          <w:highlight w:val="none"/>
        </w:rPr>
        <w:t>10</w:t>
      </w:r>
      <w:r>
        <w:rPr>
          <w:rFonts w:ascii="宋体" w:hAnsi="宋体"/>
          <w:color w:val="auto"/>
          <w:szCs w:val="21"/>
          <w:highlight w:val="none"/>
        </w:rPr>
        <w:t>kV及以下）通信，采集测控信息，具体要求见元件保护招标文件中相关条款。</w:t>
      </w:r>
    </w:p>
    <w:p>
      <w:pPr>
        <w:tabs>
          <w:tab w:val="left" w:pos="2700"/>
        </w:tabs>
        <w:overflowPunct w:val="0"/>
        <w:topLinePunct/>
        <w:spacing w:line="360" w:lineRule="auto"/>
        <w:ind w:firstLine="420" w:firstLineChars="200"/>
        <w:textAlignment w:val="center"/>
        <w:rPr>
          <w:rFonts w:ascii="宋体" w:hAnsi="宋体"/>
          <w:color w:val="auto"/>
          <w:szCs w:val="21"/>
          <w:highlight w:val="none"/>
        </w:rPr>
      </w:pPr>
      <w:r>
        <w:rPr>
          <w:rFonts w:hint="eastAsia" w:ascii="宋体" w:hAnsi="宋体"/>
          <w:color w:val="auto"/>
          <w:szCs w:val="21"/>
          <w:highlight w:val="none"/>
        </w:rPr>
        <w:t>2</w:t>
      </w:r>
      <w:r>
        <w:rPr>
          <w:rFonts w:ascii="宋体" w:hAnsi="宋体"/>
          <w:color w:val="auto"/>
          <w:szCs w:val="21"/>
          <w:highlight w:val="none"/>
        </w:rPr>
        <w:t>）</w:t>
      </w:r>
      <w:r>
        <w:rPr>
          <w:rFonts w:hint="eastAsia" w:ascii="宋体" w:hAnsi="宋体"/>
          <w:color w:val="auto"/>
          <w:szCs w:val="21"/>
          <w:highlight w:val="none"/>
        </w:rPr>
        <w:t xml:space="preserve"> </w:t>
      </w:r>
      <w:r>
        <w:rPr>
          <w:rFonts w:ascii="宋体" w:hAnsi="宋体"/>
          <w:color w:val="auto"/>
          <w:szCs w:val="21"/>
          <w:highlight w:val="none"/>
        </w:rPr>
        <w:t>计算机监控系统与其他通信设备的接口</w:t>
      </w:r>
      <w:r>
        <w:rPr>
          <w:rFonts w:hint="eastAsia" w:ascii="宋体" w:hAnsi="宋体"/>
          <w:color w:val="auto"/>
          <w:szCs w:val="21"/>
          <w:highlight w:val="none"/>
        </w:rPr>
        <w:t>。</w:t>
      </w:r>
      <w:r>
        <w:rPr>
          <w:rFonts w:ascii="宋体" w:hAnsi="宋体"/>
          <w:color w:val="auto"/>
          <w:szCs w:val="21"/>
          <w:highlight w:val="none"/>
        </w:rPr>
        <w:t>其他通信设备主要包括直流电源系统</w:t>
      </w:r>
      <w:r>
        <w:rPr>
          <w:rFonts w:hint="eastAsia" w:ascii="宋体" w:hAnsi="宋体"/>
          <w:color w:val="auto"/>
          <w:szCs w:val="21"/>
          <w:highlight w:val="none"/>
        </w:rPr>
        <w:t>及</w:t>
      </w:r>
      <w:r>
        <w:rPr>
          <w:rFonts w:ascii="宋体" w:hAnsi="宋体"/>
          <w:color w:val="auto"/>
          <w:szCs w:val="21"/>
          <w:highlight w:val="none"/>
        </w:rPr>
        <w:t>主要设备在线监测系统等。计算机监控系统通信接口设备采用数据通信方式收集各类信息，经过规约转换后通过以太网传送至计算机监控系统主机。</w:t>
      </w:r>
    </w:p>
    <w:p>
      <w:pPr>
        <w:pStyle w:val="22"/>
        <w:spacing w:line="360" w:lineRule="auto"/>
        <w:ind w:firstLine="420" w:firstLineChars="200"/>
        <w:jc w:val="left"/>
        <w:rPr>
          <w:rFonts w:hint="eastAsia" w:ascii="宋体" w:hAnsi="宋体" w:eastAsia="宋体" w:cs="宋体"/>
          <w:color w:val="auto"/>
          <w:highlight w:val="none"/>
        </w:rPr>
      </w:pPr>
      <w:r>
        <w:rPr>
          <w:rStyle w:val="27"/>
          <w:rFonts w:hint="eastAsia" w:ascii="宋体" w:hAnsi="宋体" w:eastAsia="宋体" w:cs="宋体"/>
          <w:color w:val="auto"/>
          <w:highlight w:val="none"/>
        </w:rPr>
        <w:t>1.2.6</w:t>
      </w:r>
      <w:r>
        <w:rPr>
          <w:rFonts w:hint="eastAsia" w:ascii="宋体" w:hAnsi="宋体" w:eastAsia="宋体" w:cs="宋体"/>
          <w:color w:val="auto"/>
          <w:highlight w:val="none"/>
        </w:rPr>
        <w:t>屏体及其他要求</w:t>
      </w:r>
      <w:bookmarkEnd w:id="105"/>
      <w:bookmarkEnd w:id="106"/>
    </w:p>
    <w:p>
      <w:pPr>
        <w:overflowPunct w:val="0"/>
        <w:topLinePunct/>
        <w:snapToGrid w:val="0"/>
        <w:spacing w:line="360" w:lineRule="auto"/>
        <w:ind w:firstLine="420" w:firstLineChars="200"/>
        <w:jc w:val="left"/>
        <w:rPr>
          <w:rStyle w:val="27"/>
          <w:rFonts w:hint="eastAsia" w:ascii="宋体" w:hAnsi="宋体" w:eastAsia="宋体" w:cs="宋体"/>
          <w:color w:val="auto"/>
          <w:highlight w:val="none"/>
        </w:rPr>
      </w:pPr>
      <w:r>
        <w:rPr>
          <w:rStyle w:val="27"/>
          <w:rFonts w:hint="eastAsia" w:ascii="宋体" w:hAnsi="宋体" w:eastAsia="宋体" w:cs="宋体"/>
          <w:color w:val="auto"/>
          <w:highlight w:val="none"/>
        </w:rPr>
        <w:t>1.2.6.1屏柜尺寸：2260×800×800mm（高×宽×深）。屏体颜色:RAL7035。</w:t>
      </w:r>
    </w:p>
    <w:p>
      <w:pPr>
        <w:overflowPunct w:val="0"/>
        <w:topLinePunct/>
        <w:snapToGrid w:val="0"/>
        <w:spacing w:line="360" w:lineRule="auto"/>
        <w:ind w:firstLine="420" w:firstLineChars="200"/>
        <w:jc w:val="left"/>
        <w:rPr>
          <w:rStyle w:val="27"/>
          <w:rFonts w:hint="eastAsia" w:ascii="宋体" w:hAnsi="宋体" w:eastAsia="宋体" w:cs="宋体"/>
          <w:color w:val="auto"/>
          <w:highlight w:val="none"/>
        </w:rPr>
      </w:pPr>
      <w:r>
        <w:rPr>
          <w:rStyle w:val="27"/>
          <w:rFonts w:hint="eastAsia" w:ascii="宋体" w:hAnsi="宋体" w:eastAsia="宋体" w:cs="宋体"/>
          <w:color w:val="auto"/>
          <w:highlight w:val="none"/>
        </w:rPr>
        <w:t>1.2.6.2内部配线的绝缘电压为450V，应采用PVC镀锡铜线灰色，其最小等效截面不小于1.5</w:t>
      </w:r>
      <w:r>
        <w:rPr>
          <w:rStyle w:val="27"/>
          <w:rFonts w:ascii="宋体" w:hAnsi="宋体" w:eastAsia="宋体" w:cs="宋体"/>
          <w:color w:val="auto"/>
          <w:highlight w:val="none"/>
        </w:rPr>
        <w:t>mm</w:t>
      </w:r>
      <w:r>
        <w:rPr>
          <w:rStyle w:val="27"/>
          <w:rFonts w:ascii="宋体" w:hAnsi="宋体" w:eastAsia="宋体" w:cs="宋体"/>
          <w:color w:val="auto"/>
          <w:highlight w:val="none"/>
          <w:vertAlign w:val="superscript"/>
        </w:rPr>
        <w:t>2</w:t>
      </w:r>
      <w:r>
        <w:rPr>
          <w:rStyle w:val="27"/>
          <w:rFonts w:hint="eastAsia" w:ascii="宋体" w:hAnsi="宋体" w:eastAsia="宋体" w:cs="宋体"/>
          <w:color w:val="auto"/>
          <w:highlight w:val="none"/>
        </w:rPr>
        <w:t>，但对于TA、TV和跳闸回路的截面应不小于2.5</w:t>
      </w:r>
      <w:r>
        <w:rPr>
          <w:rStyle w:val="27"/>
          <w:rFonts w:ascii="宋体" w:hAnsi="宋体" w:eastAsia="宋体" w:cs="宋体"/>
          <w:color w:val="auto"/>
          <w:highlight w:val="none"/>
        </w:rPr>
        <w:t xml:space="preserve"> mm</w:t>
      </w:r>
      <w:r>
        <w:rPr>
          <w:rStyle w:val="27"/>
          <w:rFonts w:ascii="宋体" w:hAnsi="宋体" w:eastAsia="宋体" w:cs="宋体"/>
          <w:color w:val="auto"/>
          <w:highlight w:val="none"/>
          <w:vertAlign w:val="superscript"/>
        </w:rPr>
        <w:t>2</w:t>
      </w:r>
      <w:r>
        <w:rPr>
          <w:rStyle w:val="27"/>
          <w:rFonts w:hint="eastAsia" w:ascii="宋体" w:hAnsi="宋体" w:eastAsia="宋体" w:cs="宋体"/>
          <w:color w:val="auto"/>
          <w:highlight w:val="none"/>
        </w:rPr>
        <w:t xml:space="preserve">。导线应无划痕和损伤。供方应提供配线槽以便于固定电缆，并将电缆连接到端子排。供方应对所供设备的内部配线、设备的特性和功能的正确性全面负责。所有连接于端子排的内部配线，应以标志条和有标志的线套加以识别。 </w:t>
      </w:r>
    </w:p>
    <w:p>
      <w:pPr>
        <w:overflowPunct w:val="0"/>
        <w:topLinePunct/>
        <w:snapToGrid w:val="0"/>
        <w:spacing w:line="360" w:lineRule="auto"/>
        <w:ind w:firstLine="420" w:firstLineChars="200"/>
        <w:jc w:val="left"/>
        <w:rPr>
          <w:rFonts w:hint="eastAsia" w:ascii="宋体" w:hAnsi="宋体" w:cs="宋体"/>
          <w:color w:val="auto"/>
          <w:szCs w:val="21"/>
          <w:highlight w:val="none"/>
        </w:rPr>
      </w:pPr>
      <w:r>
        <w:rPr>
          <w:rStyle w:val="27"/>
          <w:rFonts w:hint="eastAsia" w:ascii="宋体" w:hAnsi="宋体" w:eastAsia="宋体" w:cs="宋体"/>
          <w:color w:val="auto"/>
          <w:highlight w:val="none"/>
        </w:rPr>
        <w:t>1.2.6.3</w:t>
      </w:r>
      <w:r>
        <w:rPr>
          <w:rFonts w:hint="eastAsia" w:ascii="宋体" w:hAnsi="宋体" w:cs="宋体"/>
          <w:color w:val="auto"/>
          <w:szCs w:val="21"/>
          <w:highlight w:val="none"/>
        </w:rPr>
        <w:t>每个安装单位或装置的端子排，可按不同回路分组，并由上至下按一定顺序排列，端子排选用菲尼克斯凤凰端子或者魏德米勒端子,所有端子采用额定值1000V、10A，压接型端子。电流回路的端子应能接不小于4mm</w:t>
      </w:r>
      <w:r>
        <w:rPr>
          <w:rFonts w:hint="eastAsia" w:ascii="宋体" w:hAnsi="宋体" w:cs="宋体"/>
          <w:color w:val="auto"/>
          <w:szCs w:val="21"/>
          <w:highlight w:val="none"/>
          <w:vertAlign w:val="superscript"/>
        </w:rPr>
        <w:t>2</w:t>
      </w:r>
      <w:r>
        <w:rPr>
          <w:rFonts w:hint="eastAsia" w:ascii="宋体" w:hAnsi="宋体" w:cs="宋体"/>
          <w:color w:val="auto"/>
          <w:szCs w:val="21"/>
          <w:highlight w:val="none"/>
        </w:rPr>
        <w:t>的电缆芯线。TA和TV的二次回路应提供标准的试验端子，便于断开或短接各装置的输入与输出回路；对所有装置的跳闸出口回路应提供各回路分别操作的试验部件或连接片，以便于必要时解除其出口回路。一个端子只允许接入一根导线。端子排间应有足够的绝缘，端子排应根据功能分段排列，并加入可进行标注的隔离件，至少20％的备用端子，且可在必要时再增加。端子排间应留有足够的空间，便于外部电缆的连接。断路器的跳闸或合闸回路端子、直流电源的正、负极不应布置在相邻的端子上。</w:t>
      </w:r>
    </w:p>
    <w:p>
      <w:pPr>
        <w:overflowPunct w:val="0"/>
        <w:topLinePunct/>
        <w:spacing w:line="360" w:lineRule="auto"/>
        <w:ind w:firstLine="420" w:firstLineChars="200"/>
        <w:jc w:val="left"/>
        <w:rPr>
          <w:rFonts w:hint="eastAsia" w:ascii="宋体" w:hAnsi="宋体" w:cs="宋体"/>
          <w:color w:val="auto"/>
          <w:szCs w:val="21"/>
          <w:highlight w:val="none"/>
        </w:rPr>
      </w:pPr>
      <w:r>
        <w:rPr>
          <w:rFonts w:hint="eastAsia" w:ascii="宋体" w:hAnsi="宋体" w:cs="宋体"/>
          <w:color w:val="auto"/>
          <w:szCs w:val="21"/>
          <w:highlight w:val="none"/>
        </w:rPr>
        <w:t>屏上跳闸回路应采用能4mm</w:t>
      </w:r>
      <w:r>
        <w:rPr>
          <w:rFonts w:hint="eastAsia" w:ascii="宋体" w:hAnsi="宋体" w:cs="宋体"/>
          <w:color w:val="auto"/>
          <w:szCs w:val="21"/>
          <w:highlight w:val="none"/>
          <w:vertAlign w:val="superscript"/>
        </w:rPr>
        <w:t>2</w:t>
      </w:r>
      <w:r>
        <w:rPr>
          <w:rFonts w:hint="eastAsia" w:ascii="宋体" w:hAnsi="宋体" w:cs="宋体"/>
          <w:color w:val="auto"/>
          <w:szCs w:val="21"/>
          <w:highlight w:val="none"/>
        </w:rPr>
        <w:t>截面电缆芯的端子，并且跳闸回路的公共端子应采用多个端子的连接方式（跳闸回路端子应不少于6个连接端子），以保证一个端子只允许接入一根电缆芯。断路器的跳闸及合闸回路不能接在相邻端子上。屏上电源回路应采用能接4mm</w:t>
      </w:r>
      <w:r>
        <w:rPr>
          <w:rFonts w:hint="eastAsia" w:ascii="宋体" w:hAnsi="宋体" w:cs="宋体"/>
          <w:color w:val="auto"/>
          <w:szCs w:val="21"/>
          <w:highlight w:val="none"/>
          <w:vertAlign w:val="superscript"/>
        </w:rPr>
        <w:t>2</w:t>
      </w:r>
      <w:r>
        <w:rPr>
          <w:rFonts w:hint="eastAsia" w:ascii="宋体" w:hAnsi="宋体" w:cs="宋体"/>
          <w:color w:val="auto"/>
          <w:szCs w:val="21"/>
          <w:highlight w:val="none"/>
        </w:rPr>
        <w:t>截面电缆芯的端子，并且要求正、负极之间应有端子隔开。</w:t>
      </w:r>
    </w:p>
    <w:p>
      <w:pPr>
        <w:overflowPunct w:val="0"/>
        <w:topLinePunct/>
        <w:snapToGrid w:val="0"/>
        <w:spacing w:line="360" w:lineRule="auto"/>
        <w:ind w:firstLine="420" w:firstLineChars="200"/>
        <w:jc w:val="left"/>
        <w:rPr>
          <w:rFonts w:hint="eastAsia" w:ascii="宋体" w:hAnsi="宋体" w:cs="宋体"/>
          <w:color w:val="auto"/>
          <w:szCs w:val="21"/>
          <w:highlight w:val="none"/>
        </w:rPr>
      </w:pPr>
      <w:r>
        <w:rPr>
          <w:rStyle w:val="27"/>
          <w:rFonts w:hint="eastAsia" w:ascii="宋体" w:hAnsi="宋体" w:eastAsia="宋体" w:cs="宋体"/>
          <w:color w:val="auto"/>
          <w:highlight w:val="none"/>
        </w:rPr>
        <w:t>1.2.6.4</w:t>
      </w:r>
      <w:r>
        <w:rPr>
          <w:rFonts w:hint="eastAsia" w:ascii="宋体" w:hAnsi="宋体" w:cs="宋体"/>
          <w:color w:val="auto"/>
          <w:szCs w:val="21"/>
          <w:highlight w:val="none"/>
        </w:rPr>
        <w:t>屏面上信号灯和复归按钮的安装位置应便于维护、运行监视和操作。</w:t>
      </w:r>
    </w:p>
    <w:p>
      <w:pPr>
        <w:overflowPunct w:val="0"/>
        <w:topLinePunct/>
        <w:snapToGrid w:val="0"/>
        <w:spacing w:line="360" w:lineRule="auto"/>
        <w:ind w:firstLine="420" w:firstLineChars="200"/>
        <w:jc w:val="left"/>
        <w:rPr>
          <w:rFonts w:hint="eastAsia" w:ascii="宋体" w:hAnsi="宋体" w:cs="宋体"/>
          <w:color w:val="auto"/>
          <w:szCs w:val="21"/>
          <w:highlight w:val="none"/>
        </w:rPr>
      </w:pPr>
      <w:r>
        <w:rPr>
          <w:rStyle w:val="27"/>
          <w:rFonts w:hint="eastAsia" w:ascii="宋体" w:hAnsi="宋体" w:eastAsia="宋体" w:cs="宋体"/>
          <w:color w:val="auto"/>
          <w:highlight w:val="none"/>
        </w:rPr>
        <w:t>1.2.6.5</w:t>
      </w:r>
      <w:r>
        <w:rPr>
          <w:rFonts w:hint="eastAsia" w:ascii="宋体" w:hAnsi="宋体" w:cs="宋体"/>
          <w:color w:val="auto"/>
          <w:szCs w:val="21"/>
          <w:highlight w:val="none"/>
        </w:rPr>
        <w:t>屏上的所有设备（包括继电器、控制开关、熔断器、空气开关、指示灯及其他独立安装的设备），均应有便于识别铭牌或标签框。</w:t>
      </w:r>
    </w:p>
    <w:p>
      <w:pPr>
        <w:overflowPunct w:val="0"/>
        <w:topLinePunct/>
        <w:snapToGrid w:val="0"/>
        <w:spacing w:line="360" w:lineRule="auto"/>
        <w:ind w:firstLine="420" w:firstLineChars="200"/>
        <w:jc w:val="left"/>
        <w:rPr>
          <w:rFonts w:hint="eastAsia" w:ascii="宋体" w:hAnsi="宋体" w:cs="宋体"/>
          <w:color w:val="auto"/>
          <w:szCs w:val="21"/>
          <w:highlight w:val="none"/>
        </w:rPr>
      </w:pPr>
      <w:r>
        <w:rPr>
          <w:rStyle w:val="27"/>
          <w:rFonts w:hint="eastAsia" w:ascii="宋体" w:hAnsi="宋体" w:eastAsia="宋体" w:cs="宋体"/>
          <w:color w:val="auto"/>
          <w:highlight w:val="none"/>
        </w:rPr>
        <w:t>1.2.6.6</w:t>
      </w:r>
      <w:r>
        <w:rPr>
          <w:rFonts w:hint="eastAsia" w:ascii="宋体" w:hAnsi="宋体" w:cs="宋体"/>
          <w:color w:val="auto"/>
          <w:szCs w:val="21"/>
          <w:highlight w:val="none"/>
        </w:rPr>
        <w:t>屏柜所有空气开关应设在门外。</w:t>
      </w:r>
    </w:p>
    <w:p>
      <w:pPr>
        <w:overflowPunct w:val="0"/>
        <w:topLinePunct/>
        <w:snapToGrid w:val="0"/>
        <w:spacing w:line="360" w:lineRule="auto"/>
        <w:ind w:firstLine="420" w:firstLineChars="200"/>
        <w:jc w:val="left"/>
        <w:rPr>
          <w:rFonts w:hint="eastAsia" w:ascii="宋体" w:hAnsi="宋体" w:cs="宋体"/>
          <w:color w:val="auto"/>
          <w:szCs w:val="21"/>
          <w:highlight w:val="none"/>
        </w:rPr>
      </w:pPr>
      <w:r>
        <w:rPr>
          <w:rStyle w:val="27"/>
          <w:rFonts w:hint="eastAsia" w:ascii="宋体" w:hAnsi="宋体" w:eastAsia="宋体" w:cs="宋体"/>
          <w:color w:val="auto"/>
          <w:highlight w:val="none"/>
        </w:rPr>
        <w:t>1.2.6.7</w:t>
      </w:r>
      <w:r>
        <w:rPr>
          <w:rFonts w:hint="eastAsia" w:ascii="宋体" w:hAnsi="宋体" w:cs="宋体"/>
          <w:color w:val="auto"/>
          <w:szCs w:val="21"/>
          <w:highlight w:val="none"/>
        </w:rPr>
        <w:t>柜上设备应采用嵌入式或半嵌入式安装和背后接线。</w:t>
      </w:r>
    </w:p>
    <w:p>
      <w:pPr>
        <w:overflowPunct w:val="0"/>
        <w:topLinePunct/>
        <w:snapToGrid w:val="0"/>
        <w:spacing w:line="360" w:lineRule="auto"/>
        <w:ind w:firstLine="420" w:firstLineChars="200"/>
        <w:jc w:val="left"/>
        <w:rPr>
          <w:rFonts w:hint="eastAsia" w:ascii="宋体" w:hAnsi="宋体" w:cs="宋体"/>
          <w:color w:val="auto"/>
          <w:szCs w:val="21"/>
          <w:highlight w:val="none"/>
        </w:rPr>
      </w:pPr>
      <w:r>
        <w:rPr>
          <w:rStyle w:val="27"/>
          <w:rFonts w:hint="eastAsia" w:ascii="宋体" w:hAnsi="宋体" w:eastAsia="宋体" w:cs="宋体"/>
          <w:color w:val="auto"/>
          <w:highlight w:val="none"/>
        </w:rPr>
        <w:t>1.2.6.8</w:t>
      </w:r>
      <w:r>
        <w:rPr>
          <w:rFonts w:hint="eastAsia" w:ascii="宋体" w:hAnsi="宋体" w:cs="宋体"/>
          <w:color w:val="auto"/>
          <w:szCs w:val="21"/>
          <w:highlight w:val="none"/>
        </w:rPr>
        <w:t>对于必须按制造厂的规定才能运行更换的部件和插件，应有特殊的符号标出。</w:t>
      </w:r>
    </w:p>
    <w:p>
      <w:pPr>
        <w:pStyle w:val="2"/>
        <w:keepNext w:val="0"/>
        <w:keepLines w:val="0"/>
        <w:spacing w:line="360" w:lineRule="auto"/>
        <w:ind w:firstLine="0"/>
        <w:textAlignment w:val="auto"/>
        <w:rPr>
          <w:rFonts w:hint="eastAsia" w:ascii="宋体" w:hAnsi="宋体" w:eastAsia="宋体" w:cs="宋体"/>
          <w:b/>
          <w:color w:val="auto"/>
          <w:kern w:val="2"/>
          <w:highlight w:val="none"/>
        </w:rPr>
      </w:pPr>
      <w:bookmarkStart w:id="107" w:name="_Toc17973"/>
      <w:r>
        <w:rPr>
          <w:rFonts w:hint="eastAsia" w:ascii="宋体" w:hAnsi="宋体" w:eastAsia="宋体" w:cs="宋体"/>
          <w:b/>
          <w:color w:val="auto"/>
          <w:kern w:val="2"/>
          <w:highlight w:val="none"/>
        </w:rPr>
        <w:t>1.3试验</w:t>
      </w:r>
      <w:bookmarkEnd w:id="107"/>
    </w:p>
    <w:p>
      <w:pPr>
        <w:pStyle w:val="22"/>
        <w:spacing w:line="360" w:lineRule="auto"/>
        <w:ind w:firstLine="420" w:firstLineChars="200"/>
        <w:rPr>
          <w:rFonts w:hint="eastAsia" w:ascii="宋体" w:hAnsi="宋体" w:eastAsia="宋体" w:cs="宋体"/>
          <w:color w:val="auto"/>
          <w:highlight w:val="none"/>
        </w:rPr>
      </w:pPr>
      <w:bookmarkStart w:id="108" w:name="_Toc251427272"/>
      <w:bookmarkStart w:id="109" w:name="_Toc256459652"/>
      <w:r>
        <w:rPr>
          <w:rFonts w:hint="eastAsia" w:ascii="宋体" w:hAnsi="宋体" w:eastAsia="宋体" w:cs="宋体"/>
          <w:color w:val="auto"/>
          <w:highlight w:val="none"/>
        </w:rPr>
        <w:t>1.3.1工厂试验</w:t>
      </w:r>
      <w:bookmarkEnd w:id="108"/>
      <w:bookmarkEnd w:id="109"/>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1.3.1.1</w:t>
      </w:r>
      <w:r>
        <w:rPr>
          <w:rFonts w:hint="eastAsia" w:ascii="宋体" w:hAnsi="宋体" w:cs="宋体"/>
          <w:color w:val="auto"/>
          <w:szCs w:val="21"/>
          <w:highlight w:val="none"/>
        </w:rPr>
        <w:t xml:space="preserve"> 为保证工程进度，确保系统满足标书的性能指标要求，需方将保留参加供方的工厂试验的权利，供方应予配合。</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1.3.1.2</w:t>
      </w:r>
      <w:r>
        <w:rPr>
          <w:rFonts w:hint="eastAsia" w:ascii="宋体" w:hAnsi="宋体" w:cs="宋体"/>
          <w:color w:val="auto"/>
          <w:szCs w:val="21"/>
          <w:highlight w:val="none"/>
        </w:rPr>
        <w:t>工厂应提供试验所需的测试设备，试验应包括装置试验、组屏后的屏柜试验、系统功能试验及系统指标试验（遵守变电站计算机监控系统工厂验收管理规程），应包括以下试验项目，且不仅限于以下试验项目：</w:t>
      </w:r>
    </w:p>
    <w:p>
      <w:pPr>
        <w:numPr>
          <w:ilvl w:val="0"/>
          <w:numId w:val="25"/>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I/O单元的性能试验</w:t>
      </w:r>
    </w:p>
    <w:p>
      <w:pPr>
        <w:numPr>
          <w:ilvl w:val="0"/>
          <w:numId w:val="25"/>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屏柜试验（包括耐压试验、绝缘电阻测量、屏内接线检查等）。</w:t>
      </w:r>
    </w:p>
    <w:p>
      <w:pPr>
        <w:numPr>
          <w:ilvl w:val="0"/>
          <w:numId w:val="25"/>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系统功能试验（包括标书描述的各项功能检查）。</w:t>
      </w:r>
    </w:p>
    <w:p>
      <w:pPr>
        <w:numPr>
          <w:ilvl w:val="0"/>
          <w:numId w:val="25"/>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电气联锁试验（供方应模拟变电站一次主接线来验证电气联锁逻辑的实现）。</w:t>
      </w:r>
    </w:p>
    <w:p>
      <w:pPr>
        <w:numPr>
          <w:ilvl w:val="0"/>
          <w:numId w:val="25"/>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时钟同步系统对时精度试验。</w:t>
      </w:r>
    </w:p>
    <w:p>
      <w:pPr>
        <w:numPr>
          <w:ilvl w:val="0"/>
          <w:numId w:val="25"/>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事件顺序记录的分辨率试验。</w:t>
      </w:r>
    </w:p>
    <w:p>
      <w:pPr>
        <w:numPr>
          <w:ilvl w:val="0"/>
          <w:numId w:val="25"/>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与保护装置及其他通信设备的通信模拟试验。</w:t>
      </w:r>
    </w:p>
    <w:p>
      <w:pPr>
        <w:numPr>
          <w:ilvl w:val="0"/>
          <w:numId w:val="25"/>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根据实际系统经双方协商认为需进行的试验。</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1.3.1.3</w:t>
      </w:r>
      <w:r>
        <w:rPr>
          <w:rFonts w:hint="eastAsia" w:ascii="宋体" w:hAnsi="宋体" w:cs="宋体"/>
          <w:color w:val="auto"/>
          <w:szCs w:val="21"/>
          <w:highlight w:val="none"/>
        </w:rPr>
        <w:t>在工厂试验期间，供方应根据标书的技术要求，完成工厂试验报告。试验报告应包括但不限于以下项目：</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1） 设备的编号、数量和出厂序号；</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2） 试验日期和试验地点；</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3） 试验条件；</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4） 试验方法和试验仪器仪表（对于精度试验，应标明所使用的测试设备的精度）；</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5） 试验依据的标准，如为厂家标准，应提交标准文本供需方确认，是否满足标书要求；</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6） 试验结果，包括试验数据、试验点、打印数据和示波器图形等；</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7） 试验者和审批者的签名。</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1.3.1.4</w:t>
      </w:r>
      <w:r>
        <w:rPr>
          <w:rFonts w:hint="eastAsia" w:ascii="宋体" w:hAnsi="宋体" w:cs="宋体"/>
          <w:color w:val="auto"/>
          <w:szCs w:val="21"/>
          <w:highlight w:val="none"/>
        </w:rPr>
        <w:t>供方完成工厂试验后，应及时通知需方，以便安排工厂验收试验。</w:t>
      </w:r>
    </w:p>
    <w:p>
      <w:pPr>
        <w:pStyle w:val="22"/>
        <w:spacing w:line="360" w:lineRule="auto"/>
        <w:ind w:firstLine="420" w:firstLineChars="200"/>
        <w:rPr>
          <w:rFonts w:hint="eastAsia" w:ascii="宋体" w:hAnsi="宋体" w:eastAsia="宋体" w:cs="宋体"/>
          <w:color w:val="auto"/>
          <w:highlight w:val="none"/>
        </w:rPr>
      </w:pPr>
      <w:bookmarkStart w:id="110" w:name="_Toc251427274"/>
      <w:bookmarkStart w:id="111" w:name="_Toc256459653"/>
      <w:r>
        <w:rPr>
          <w:rFonts w:hint="eastAsia" w:ascii="宋体" w:hAnsi="宋体" w:eastAsia="宋体" w:cs="宋体"/>
          <w:color w:val="auto"/>
          <w:highlight w:val="none"/>
        </w:rPr>
        <w:t>1.3.2现场验收</w:t>
      </w:r>
      <w:bookmarkEnd w:id="110"/>
      <w:r>
        <w:rPr>
          <w:rFonts w:hint="eastAsia" w:ascii="宋体" w:hAnsi="宋体" w:eastAsia="宋体" w:cs="宋体"/>
          <w:color w:val="auto"/>
          <w:highlight w:val="none"/>
        </w:rPr>
        <w:t>试验</w:t>
      </w:r>
      <w:bookmarkEnd w:id="111"/>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1.3.2.1</w:t>
      </w:r>
      <w:r>
        <w:rPr>
          <w:rFonts w:hint="eastAsia" w:ascii="宋体" w:hAnsi="宋体" w:cs="宋体"/>
          <w:color w:val="auto"/>
          <w:szCs w:val="21"/>
          <w:highlight w:val="none"/>
        </w:rPr>
        <w:t>现场验收试验的时间和条件由需方根据现场安装和调试的进度确定。供方有责任指导和配合需方完成现场安装和调试的各项工作，并应负责培训需方技术人员，使其掌握系统维护的各项技能。</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1.3.2.2</w:t>
      </w:r>
      <w:r>
        <w:rPr>
          <w:rFonts w:hint="eastAsia" w:ascii="宋体" w:hAnsi="宋体" w:cs="宋体"/>
          <w:color w:val="auto"/>
          <w:szCs w:val="21"/>
          <w:highlight w:val="none"/>
        </w:rPr>
        <w:t>现场验收有在正常运行条件下进行。</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1.3.2.3</w:t>
      </w:r>
      <w:r>
        <w:rPr>
          <w:rFonts w:hint="eastAsia" w:ascii="宋体" w:hAnsi="宋体" w:cs="宋体"/>
          <w:color w:val="auto"/>
          <w:szCs w:val="21"/>
          <w:highlight w:val="none"/>
        </w:rPr>
        <w:t>现场验收主要目的是检验系统与变电站的一次系统及其他设备的配合（遵守变电站计算机监控系统现场验收管理规程），试验项目主要包括但不限于下列项目：</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1） I/O单元的性能试验；</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2） 电气联锁试验（供方应模拟变电站一次主接线来验证电气联锁逻辑的实现）；</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3） 系统CPU和网络负荷率试验；</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4） 时钟同步系统对时精度试验；</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5） 事件顺序记录的分辨率试验；</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6） 与保护装置及其他通信设备的通信联调试验；</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7） 所有人机接口功能演示、应用软件的运行演示、画面完备性检查、响应时间和刷新周期测试；</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8）告警系统测试（包括系统自诊断异常告警，与站内其他设备配合进行）；</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9）系统自诊断测试。</w:t>
      </w:r>
    </w:p>
    <w:p>
      <w:pPr>
        <w:pStyle w:val="2"/>
        <w:keepNext w:val="0"/>
        <w:keepLines w:val="0"/>
        <w:spacing w:line="360" w:lineRule="auto"/>
        <w:ind w:firstLine="0"/>
        <w:textAlignment w:val="auto"/>
        <w:rPr>
          <w:rFonts w:hint="eastAsia" w:ascii="宋体" w:hAnsi="宋体" w:eastAsia="宋体" w:cs="宋体"/>
          <w:b/>
          <w:color w:val="auto"/>
          <w:kern w:val="2"/>
          <w:highlight w:val="none"/>
        </w:rPr>
      </w:pPr>
      <w:bookmarkStart w:id="112" w:name="_Toc18505"/>
      <w:r>
        <w:rPr>
          <w:rFonts w:hint="eastAsia" w:ascii="宋体" w:hAnsi="宋体" w:eastAsia="宋体" w:cs="宋体"/>
          <w:b/>
          <w:color w:val="auto"/>
          <w:kern w:val="2"/>
          <w:highlight w:val="none"/>
        </w:rPr>
        <w:t>1.4技术服务、设计联络、工厂检验和监造</w:t>
      </w:r>
      <w:bookmarkEnd w:id="112"/>
    </w:p>
    <w:p>
      <w:pPr>
        <w:pStyle w:val="22"/>
        <w:spacing w:line="360" w:lineRule="auto"/>
        <w:ind w:firstLine="420" w:firstLineChars="200"/>
        <w:rPr>
          <w:rFonts w:hint="eastAsia" w:ascii="宋体" w:hAnsi="宋体" w:eastAsia="宋体" w:cs="宋体"/>
          <w:color w:val="auto"/>
          <w:highlight w:val="none"/>
        </w:rPr>
      </w:pPr>
      <w:bookmarkStart w:id="113" w:name="_Toc251427276"/>
      <w:bookmarkStart w:id="114" w:name="_Toc256459655"/>
      <w:r>
        <w:rPr>
          <w:rFonts w:hint="eastAsia" w:ascii="宋体" w:hAnsi="宋体" w:eastAsia="宋体" w:cs="宋体"/>
          <w:color w:val="auto"/>
          <w:highlight w:val="none"/>
        </w:rPr>
        <w:t>1.4.1技术服务</w:t>
      </w:r>
      <w:bookmarkEnd w:id="113"/>
      <w:bookmarkEnd w:id="114"/>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1.4.1.1</w:t>
      </w:r>
      <w:r>
        <w:rPr>
          <w:rFonts w:hint="eastAsia" w:ascii="宋体" w:hAnsi="宋体" w:cs="宋体"/>
          <w:color w:val="auto"/>
          <w:szCs w:val="21"/>
          <w:highlight w:val="none"/>
        </w:rPr>
        <w:t>项目管理</w:t>
      </w:r>
    </w:p>
    <w:p>
      <w:pPr>
        <w:overflowPunct w:val="0"/>
        <w:topLinePunct/>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合同签定后，供方应指定负责本工程的项目经理，负责协调供方在工程全过程的各项工作，如工程进度、设计制造、图纸文件、制造确认、包装运输、现场安装、调试验收等。</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1.4.1.2</w:t>
      </w:r>
      <w:r>
        <w:rPr>
          <w:rFonts w:hint="eastAsia" w:ascii="宋体" w:hAnsi="宋体" w:cs="宋体"/>
          <w:color w:val="auto"/>
          <w:szCs w:val="21"/>
          <w:highlight w:val="none"/>
        </w:rPr>
        <w:t xml:space="preserve"> 技术文件</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1.4.1.2.1</w:t>
      </w:r>
      <w:r>
        <w:rPr>
          <w:rFonts w:hint="eastAsia" w:ascii="宋体" w:hAnsi="宋体" w:cs="宋体"/>
          <w:color w:val="auto"/>
          <w:szCs w:val="21"/>
          <w:highlight w:val="none"/>
        </w:rPr>
        <w:t xml:space="preserve"> 供方在订货前提供一般性资料</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如：鉴定证书、报价书、系统原理图和主要技术参数、产品质量的有效检验合格证、典型说明书、屏布置图。</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1.4.1.2.2</w:t>
      </w:r>
      <w:r>
        <w:rPr>
          <w:rFonts w:hint="eastAsia" w:ascii="宋体" w:hAnsi="宋体" w:cs="宋体"/>
          <w:color w:val="auto"/>
          <w:szCs w:val="21"/>
          <w:highlight w:val="none"/>
        </w:rPr>
        <w:t>供方在技术协议签订后应提供资料</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在技术协议签订后30天内，供方向需方和设计院提供相关技术文件各1份以供确认。</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1.4.1.2.3</w:t>
      </w:r>
      <w:r>
        <w:rPr>
          <w:rFonts w:hint="eastAsia" w:ascii="宋体" w:hAnsi="宋体" w:cs="宋体"/>
          <w:color w:val="auto"/>
          <w:szCs w:val="21"/>
          <w:highlight w:val="none"/>
        </w:rPr>
        <w:t>供方在收到确认意见后应提供资料</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设计院在收到图纸后1周内返回主要确认意见，供方在提供确认图纸时必须提供为审核该张图纸所需的资料。需方可根据需要确定召开设计联络会（设计联络会的次数根据情况确定）。供方在收到确认意见，21天内供方应提供修改后的书面资料至需方。</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1.4.1.2.4</w:t>
      </w:r>
      <w:r>
        <w:rPr>
          <w:rFonts w:hint="eastAsia" w:ascii="宋体" w:hAnsi="宋体" w:cs="宋体"/>
          <w:color w:val="auto"/>
          <w:szCs w:val="21"/>
          <w:highlight w:val="none"/>
        </w:rPr>
        <w:t>设备供货时提供资料</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设备的开箱资料还应包括安装、运行、维护、修理说明书、部件清单资料、工厂试验报告、产品合格证等。</w:t>
      </w:r>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供方提供的图纸、资料应满足设计、施工、调试及运行的需要。</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1.4.1.3</w:t>
      </w:r>
      <w:r>
        <w:rPr>
          <w:rFonts w:hint="eastAsia" w:ascii="宋体" w:hAnsi="宋体" w:cs="宋体"/>
          <w:color w:val="auto"/>
          <w:szCs w:val="21"/>
          <w:highlight w:val="none"/>
        </w:rPr>
        <w:t>现场服务及售后服务</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1.4.1.3.1</w:t>
      </w:r>
      <w:r>
        <w:rPr>
          <w:rFonts w:hint="eastAsia" w:ascii="宋体" w:hAnsi="宋体" w:cs="宋体"/>
          <w:color w:val="auto"/>
          <w:szCs w:val="21"/>
          <w:highlight w:val="none"/>
        </w:rPr>
        <w:t>供方在计算机监控系统安装调试过程中视需方工作情况及时派出工程技术服务人员，以提供现场服务。供方派出人员在现场负责技术指导，并协助需方安装、调试。需方应为供方的现场派出人员提供工作和生活的便利条件。当变电站内设备分批投运时，供方应按合同规定及时派工程技术人员到达现场服务。</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1.4.1.3.2</w:t>
      </w:r>
      <w:r>
        <w:rPr>
          <w:rFonts w:hint="eastAsia" w:ascii="宋体" w:hAnsi="宋体" w:cs="宋体"/>
          <w:color w:val="auto"/>
          <w:szCs w:val="21"/>
          <w:highlight w:val="none"/>
        </w:rPr>
        <w:t>保修期内产品出现不符合功能要求和技术指标要求，供方亦应负责修理或更换。保修期外产品出现异常、设备缺陷、元件损坏等故障，现场无法处理时，供方接到需方通知后，应在4h内响应，并立即派出工程技术人员在48h内到达现场进行处理。</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1.4.1.3.3</w:t>
      </w:r>
      <w:r>
        <w:rPr>
          <w:rFonts w:hint="eastAsia" w:ascii="宋体" w:hAnsi="宋体" w:cs="宋体"/>
          <w:color w:val="auto"/>
          <w:szCs w:val="21"/>
          <w:highlight w:val="none"/>
        </w:rPr>
        <w:t>供方在设备保修期外应及时更换损坏的设备，按成本收取维修费用。</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1.4.1.4</w:t>
      </w:r>
      <w:r>
        <w:rPr>
          <w:rFonts w:hint="eastAsia" w:ascii="宋体" w:hAnsi="宋体" w:cs="宋体"/>
          <w:color w:val="auto"/>
          <w:szCs w:val="21"/>
          <w:highlight w:val="none"/>
        </w:rPr>
        <w:t>工作安排</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1.4.1.4.1</w:t>
      </w:r>
      <w:r>
        <w:rPr>
          <w:rFonts w:hint="eastAsia" w:ascii="宋体" w:hAnsi="宋体" w:cs="宋体"/>
          <w:color w:val="auto"/>
          <w:szCs w:val="21"/>
          <w:highlight w:val="none"/>
        </w:rPr>
        <w:t>根据工程需要可以召开设计联络会或其他形式解决设计制造中的问题。</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1.4.1.4.2</w:t>
      </w:r>
      <w:r>
        <w:rPr>
          <w:rFonts w:hint="eastAsia" w:ascii="宋体" w:hAnsi="宋体" w:cs="宋体"/>
          <w:color w:val="auto"/>
          <w:szCs w:val="21"/>
          <w:highlight w:val="none"/>
        </w:rPr>
        <w:t>文件交接要有记录，设计联络会议应有纪要。</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1.4.1.4.3</w:t>
      </w:r>
      <w:r>
        <w:rPr>
          <w:rFonts w:hint="eastAsia" w:ascii="宋体" w:hAnsi="宋体" w:cs="宋体"/>
          <w:color w:val="auto"/>
          <w:szCs w:val="21"/>
          <w:highlight w:val="none"/>
        </w:rPr>
        <w:t>供方提供的设备及附件规格、重量或接线有变化时，应及时书面通知需方。</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1.4.1.4.4</w:t>
      </w:r>
      <w:r>
        <w:rPr>
          <w:rFonts w:hint="eastAsia" w:ascii="宋体" w:hAnsi="宋体" w:cs="宋体"/>
          <w:color w:val="auto"/>
          <w:szCs w:val="21"/>
          <w:highlight w:val="none"/>
        </w:rPr>
        <w:t>未尽事宜，双方协商处理，可以以其他形式补充。双方协商所形成的文件具有与规范书同等的效力。</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1.4.1.5</w:t>
      </w:r>
      <w:r>
        <w:rPr>
          <w:rFonts w:hint="eastAsia" w:ascii="宋体" w:hAnsi="宋体" w:cs="宋体"/>
          <w:color w:val="auto"/>
          <w:szCs w:val="21"/>
          <w:highlight w:val="none"/>
        </w:rPr>
        <w:t>质量保证</w:t>
      </w:r>
    </w:p>
    <w:p>
      <w:pPr>
        <w:numPr>
          <w:ilvl w:val="0"/>
          <w:numId w:val="26"/>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订购的新产品除应满足本规范书外，供方还应提供产品的鉴定证书、满足本规范技术要求的国家或电力行业设备质检中心出具的产品型式试验质检报告。</w:t>
      </w:r>
    </w:p>
    <w:p>
      <w:pPr>
        <w:numPr>
          <w:ilvl w:val="0"/>
          <w:numId w:val="26"/>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供方应保证制造过程中的所有工艺、材料等（包括供方的外购件在内）均应符合规范书的规定。若需方根据运行经验指定供方提供某种外购零部件，供方应积极配合。</w:t>
      </w:r>
    </w:p>
    <w:p>
      <w:pPr>
        <w:numPr>
          <w:ilvl w:val="0"/>
          <w:numId w:val="26"/>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供方应遵守本规范书中各条款和工作项目的GB/T 1900（ISO 9000）质量保证体系，该质量保证体系经过国家认证和正常运转。</w:t>
      </w:r>
    </w:p>
    <w:p>
      <w:pPr>
        <w:numPr>
          <w:ilvl w:val="0"/>
          <w:numId w:val="26"/>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质保期内由于供方的原因，设备到现场在安装和运行过程中出现缺陷和损坏时，供方应免费修理或更换。</w:t>
      </w:r>
    </w:p>
    <w:p>
      <w:pPr>
        <w:pStyle w:val="22"/>
        <w:spacing w:line="360" w:lineRule="auto"/>
        <w:ind w:firstLine="420" w:firstLineChars="200"/>
        <w:rPr>
          <w:rFonts w:hint="eastAsia" w:ascii="宋体" w:hAnsi="宋体" w:eastAsia="宋体" w:cs="宋体"/>
          <w:color w:val="auto"/>
          <w:highlight w:val="none"/>
        </w:rPr>
      </w:pPr>
      <w:bookmarkStart w:id="115" w:name="_Toc256459656"/>
      <w:bookmarkStart w:id="116" w:name="_Toc251427277"/>
      <w:r>
        <w:rPr>
          <w:rFonts w:hint="eastAsia" w:ascii="宋体" w:hAnsi="宋体" w:eastAsia="宋体" w:cs="宋体"/>
          <w:color w:val="auto"/>
          <w:highlight w:val="none"/>
        </w:rPr>
        <w:t>1.4.2设计联络</w:t>
      </w:r>
      <w:bookmarkEnd w:id="115"/>
      <w:bookmarkEnd w:id="116"/>
    </w:p>
    <w:p>
      <w:pPr>
        <w:overflowPunct w:val="0"/>
        <w:topLinePunct/>
        <w:spacing w:line="360" w:lineRule="auto"/>
        <w:ind w:firstLine="420" w:firstLineChars="200"/>
        <w:textAlignment w:val="center"/>
        <w:rPr>
          <w:rFonts w:hint="eastAsia" w:ascii="宋体" w:hAnsi="宋体" w:cs="宋体"/>
          <w:color w:val="auto"/>
          <w:szCs w:val="21"/>
          <w:highlight w:val="none"/>
        </w:rPr>
      </w:pPr>
      <w:r>
        <w:rPr>
          <w:rFonts w:hint="eastAsia" w:ascii="宋体" w:hAnsi="宋体" w:cs="宋体"/>
          <w:color w:val="auto"/>
          <w:szCs w:val="21"/>
          <w:highlight w:val="none"/>
        </w:rPr>
        <w:t>供方应负责合同设备的设计和协调工作，并根据工程设计需要做好与需方、设计方的设计联络工作。</w:t>
      </w:r>
    </w:p>
    <w:p>
      <w:pPr>
        <w:pStyle w:val="22"/>
        <w:spacing w:line="360" w:lineRule="auto"/>
        <w:ind w:firstLine="420" w:firstLineChars="200"/>
        <w:rPr>
          <w:rFonts w:hint="eastAsia" w:ascii="宋体" w:hAnsi="宋体" w:eastAsia="宋体" w:cs="宋体"/>
          <w:color w:val="auto"/>
          <w:highlight w:val="none"/>
        </w:rPr>
      </w:pPr>
      <w:bookmarkStart w:id="117" w:name="_Toc251427278"/>
      <w:bookmarkStart w:id="118" w:name="_Toc256459657"/>
      <w:r>
        <w:rPr>
          <w:rFonts w:hint="eastAsia" w:ascii="宋体" w:hAnsi="宋体" w:eastAsia="宋体" w:cs="宋体"/>
          <w:color w:val="auto"/>
          <w:highlight w:val="none"/>
        </w:rPr>
        <w:t>1.4.3工厂验收</w:t>
      </w:r>
      <w:bookmarkEnd w:id="117"/>
      <w:bookmarkEnd w:id="118"/>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1.4.3.1</w:t>
      </w:r>
      <w:r>
        <w:rPr>
          <w:rFonts w:hint="eastAsia" w:ascii="宋体" w:hAnsi="宋体" w:cs="宋体"/>
          <w:color w:val="auto"/>
          <w:szCs w:val="21"/>
          <w:highlight w:val="none"/>
        </w:rPr>
        <w:t>供方应在工厂验收试验之前20天，向需方提交计算机监控系统详细的工厂验收及联调试验大纲，并通知相关的通信设备供货商，该大纲至少应该包括：试验日期、试验接线、试验项目、试验方法及测量仪器仪表等。该大纲需经需方确认方可执行。</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1.4.3.2</w:t>
      </w:r>
      <w:r>
        <w:rPr>
          <w:rFonts w:hint="eastAsia" w:ascii="宋体" w:hAnsi="宋体" w:cs="宋体"/>
          <w:color w:val="auto"/>
          <w:szCs w:val="21"/>
          <w:highlight w:val="none"/>
        </w:rPr>
        <w:t>在工厂验收期间，供方应向需方参加试验的工作人员提供检查、测试和记录设备。</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1.4.3.3</w:t>
      </w:r>
      <w:r>
        <w:rPr>
          <w:rFonts w:hint="eastAsia" w:ascii="宋体" w:hAnsi="宋体" w:cs="宋体"/>
          <w:color w:val="auto"/>
          <w:szCs w:val="21"/>
          <w:highlight w:val="none"/>
        </w:rPr>
        <w:t>工厂验收在工厂试验的基础上进行，主要根据标书要求进行系统的功能和性能试验，以便确认：系统各项功能满足标书要求；系统各项指标满足标书要求；所有的硬件和软件缺陷已发现并改正；各项切换功能满足标书要求；系统各计算机的CPU和网络的负荷率满足标书要求；所有的自诊断功能有效；系统的稳定性满足标书要求等。</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1.4.3.4</w:t>
      </w:r>
      <w:r>
        <w:rPr>
          <w:rFonts w:hint="eastAsia" w:ascii="宋体" w:hAnsi="宋体" w:cs="宋体"/>
          <w:color w:val="auto"/>
          <w:szCs w:val="21"/>
          <w:highlight w:val="none"/>
        </w:rPr>
        <w:t>工厂验收应包括系统性能试验、功能试验和稳定性试验。</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1.4.3.5</w:t>
      </w:r>
      <w:r>
        <w:rPr>
          <w:rFonts w:hint="eastAsia" w:ascii="宋体" w:hAnsi="宋体" w:cs="宋体"/>
          <w:color w:val="auto"/>
          <w:szCs w:val="21"/>
          <w:highlight w:val="none"/>
        </w:rPr>
        <w:t>完成所有工厂验收试验后，经需方参加工厂验收人员的认可后，设备可以装运至现场。</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1.4.4</w:t>
      </w:r>
      <w:r>
        <w:rPr>
          <w:rFonts w:hint="eastAsia" w:ascii="宋体" w:hAnsi="宋体" w:cs="宋体"/>
          <w:color w:val="auto"/>
          <w:szCs w:val="21"/>
          <w:highlight w:val="none"/>
        </w:rPr>
        <w:t>包装运输和储存</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1.4.4.1</w:t>
      </w:r>
      <w:r>
        <w:rPr>
          <w:rFonts w:hint="eastAsia" w:ascii="宋体" w:hAnsi="宋体" w:cs="宋体"/>
          <w:color w:val="auto"/>
          <w:szCs w:val="21"/>
          <w:highlight w:val="none"/>
        </w:rPr>
        <w:t>装置制造完成并通过试验后应及时包装，否则应得到切实的保护。</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1.4.4.2</w:t>
      </w:r>
      <w:r>
        <w:rPr>
          <w:rFonts w:hint="eastAsia" w:ascii="宋体" w:hAnsi="宋体" w:cs="宋体"/>
          <w:color w:val="auto"/>
          <w:szCs w:val="21"/>
          <w:highlight w:val="none"/>
        </w:rPr>
        <w:t xml:space="preserve">  所有部件经妥善包装或装箱后，在运输过程中尚应采取其他防护措施，以免散失损坏或被盗。</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1.4.4.3</w:t>
      </w:r>
      <w:r>
        <w:rPr>
          <w:rFonts w:hint="eastAsia" w:ascii="宋体" w:hAnsi="宋体" w:cs="宋体"/>
          <w:color w:val="auto"/>
          <w:szCs w:val="21"/>
          <w:highlight w:val="none"/>
        </w:rPr>
        <w:t xml:space="preserve">  在包装箱外应标明需方的订货号、发货号。</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1.4.4.4</w:t>
      </w:r>
      <w:r>
        <w:rPr>
          <w:rFonts w:hint="eastAsia" w:ascii="宋体" w:hAnsi="宋体" w:cs="宋体"/>
          <w:color w:val="auto"/>
          <w:szCs w:val="21"/>
          <w:highlight w:val="none"/>
        </w:rPr>
        <w:t xml:space="preserve">  各种包装应等确保各零部件在运输过程中不致遭到损坏、丢失、变形、受潮和腐蚀。</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1.4.4.5</w:t>
      </w:r>
      <w:r>
        <w:rPr>
          <w:rFonts w:hint="eastAsia" w:ascii="宋体" w:hAnsi="宋体" w:cs="宋体"/>
          <w:color w:val="auto"/>
          <w:szCs w:val="21"/>
          <w:highlight w:val="none"/>
        </w:rPr>
        <w:t xml:space="preserve">  包装箱上应有明显的包装储运图示标志（按GB 191）。</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1.4.4.6</w:t>
      </w:r>
      <w:r>
        <w:rPr>
          <w:rFonts w:hint="eastAsia" w:ascii="宋体" w:hAnsi="宋体" w:cs="宋体"/>
          <w:color w:val="auto"/>
          <w:szCs w:val="21"/>
          <w:highlight w:val="none"/>
        </w:rPr>
        <w:t xml:space="preserve">  整体产品或分别运输的部件都要适合运输和装载的要求。</w:t>
      </w:r>
    </w:p>
    <w:p>
      <w:pPr>
        <w:overflowPunct w:val="0"/>
        <w:topLinePunct/>
        <w:snapToGrid w:val="0"/>
        <w:spacing w:line="360" w:lineRule="auto"/>
        <w:ind w:firstLine="420" w:firstLineChars="200"/>
        <w:rPr>
          <w:rFonts w:hint="eastAsia" w:ascii="宋体" w:hAnsi="宋体" w:cs="宋体"/>
          <w:color w:val="auto"/>
          <w:szCs w:val="21"/>
          <w:highlight w:val="none"/>
        </w:rPr>
      </w:pPr>
      <w:r>
        <w:rPr>
          <w:rStyle w:val="27"/>
          <w:rFonts w:hint="eastAsia" w:ascii="宋体" w:hAnsi="宋体" w:eastAsia="宋体" w:cs="宋体"/>
          <w:color w:val="auto"/>
          <w:highlight w:val="none"/>
        </w:rPr>
        <w:t>1.4.4.7</w:t>
      </w:r>
      <w:r>
        <w:rPr>
          <w:rFonts w:hint="eastAsia" w:ascii="宋体" w:hAnsi="宋体" w:cs="宋体"/>
          <w:color w:val="auto"/>
          <w:szCs w:val="21"/>
          <w:highlight w:val="none"/>
        </w:rPr>
        <w:t xml:space="preserve">  随产品提供的技术资料应完整无缺，提供份额符合GB 19.32的要求。</w:t>
      </w:r>
    </w:p>
    <w:p>
      <w:pPr>
        <w:pStyle w:val="24"/>
        <w:spacing w:line="360" w:lineRule="auto"/>
        <w:jc w:val="center"/>
        <w:rPr>
          <w:rFonts w:hint="eastAsia" w:ascii="宋体" w:hAnsi="宋体" w:eastAsia="宋体" w:cs="宋体"/>
          <w:color w:val="auto"/>
          <w:highlight w:val="none"/>
        </w:rPr>
      </w:pPr>
    </w:p>
    <w:p>
      <w:pPr>
        <w:spacing w:line="360" w:lineRule="auto"/>
        <w:jc w:val="center"/>
        <w:outlineLvl w:val="0"/>
        <w:rPr>
          <w:rFonts w:hint="eastAsia" w:ascii="宋体" w:hAnsi="宋体" w:cs="宋体"/>
          <w:b/>
          <w:bCs/>
          <w:color w:val="auto"/>
          <w:szCs w:val="21"/>
          <w:highlight w:val="none"/>
        </w:rPr>
      </w:pPr>
      <w:r>
        <w:rPr>
          <w:rFonts w:ascii="宋体" w:hAnsi="宋体" w:cs="宋体"/>
          <w:b/>
          <w:bCs/>
          <w:color w:val="auto"/>
          <w:szCs w:val="21"/>
          <w:highlight w:val="none"/>
        </w:rPr>
        <w:br w:type="page"/>
      </w:r>
      <w:bookmarkStart w:id="119" w:name="_Toc18798"/>
      <w:r>
        <w:rPr>
          <w:rFonts w:hint="eastAsia" w:ascii="宋体" w:hAnsi="宋体" w:cs="宋体"/>
          <w:b/>
          <w:bCs/>
          <w:color w:val="auto"/>
          <w:szCs w:val="21"/>
          <w:highlight w:val="none"/>
        </w:rPr>
        <w:t>五、10KV开关柜技术规范书</w:t>
      </w:r>
      <w:bookmarkEnd w:id="119"/>
    </w:p>
    <w:p>
      <w:pPr>
        <w:spacing w:line="360" w:lineRule="auto"/>
        <w:jc w:val="center"/>
        <w:rPr>
          <w:rFonts w:hint="eastAsia" w:ascii="宋体" w:hAnsi="宋体" w:cs="宋体"/>
          <w:b/>
          <w:bCs/>
          <w:color w:val="auto"/>
          <w:szCs w:val="21"/>
          <w:highlight w:val="none"/>
        </w:rPr>
      </w:pPr>
    </w:p>
    <w:p>
      <w:pPr>
        <w:pStyle w:val="3"/>
        <w:numPr>
          <w:ilvl w:val="0"/>
          <w:numId w:val="0"/>
        </w:numPr>
        <w:spacing w:line="360" w:lineRule="auto"/>
        <w:rPr>
          <w:rFonts w:hint="eastAsia" w:ascii="宋体" w:hAnsi="宋体"/>
          <w:b/>
          <w:snapToGrid w:val="0"/>
          <w:color w:val="auto"/>
          <w:kern w:val="0"/>
          <w:szCs w:val="21"/>
          <w:highlight w:val="none"/>
        </w:rPr>
      </w:pPr>
      <w:r>
        <w:rPr>
          <w:rFonts w:hint="eastAsia" w:ascii="宋体" w:hAnsi="宋体"/>
          <w:b/>
          <w:snapToGrid w:val="0"/>
          <w:color w:val="auto"/>
          <w:kern w:val="0"/>
          <w:szCs w:val="21"/>
          <w:highlight w:val="none"/>
        </w:rPr>
        <w:t>1.1  设备名称及参考标准</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铠装式金属封闭开关柜，产品适用并满足以下技术标准：</w:t>
      </w:r>
    </w:p>
    <w:p>
      <w:pPr>
        <w:pStyle w:val="31"/>
        <w:ind w:firstLine="420"/>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IEC60298      《1kV及以上52kV及以下交流金属封闭开关设备和控制设备》</w:t>
      </w:r>
    </w:p>
    <w:p>
      <w:pPr>
        <w:pStyle w:val="31"/>
        <w:ind w:firstLine="420"/>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IEC60694      《高压开关设备标准的共用条款》</w:t>
      </w:r>
    </w:p>
    <w:p>
      <w:pPr>
        <w:pStyle w:val="31"/>
        <w:ind w:firstLine="420"/>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IEC60056      《交流高压断路器》</w:t>
      </w:r>
    </w:p>
    <w:p>
      <w:pPr>
        <w:pStyle w:val="31"/>
        <w:ind w:firstLine="420"/>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IEC600060     《高压测试技术》</w:t>
      </w:r>
    </w:p>
    <w:p>
      <w:pPr>
        <w:pStyle w:val="31"/>
        <w:ind w:firstLine="420"/>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IEC60129      《交流高压隔离开关和接地开关》</w:t>
      </w:r>
    </w:p>
    <w:p>
      <w:pPr>
        <w:pStyle w:val="31"/>
        <w:ind w:firstLine="420"/>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IEC-60044-1   《电流互感器》</w:t>
      </w:r>
    </w:p>
    <w:p>
      <w:pPr>
        <w:pStyle w:val="31"/>
        <w:ind w:firstLine="420"/>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IEC-60044-2   《电压互感器》</w:t>
      </w:r>
    </w:p>
    <w:p>
      <w:pPr>
        <w:pStyle w:val="31"/>
        <w:ind w:firstLine="420"/>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IEC-60099-4   《交流系统用无间隙金属氧化物避雷器》</w:t>
      </w:r>
    </w:p>
    <w:p>
      <w:pPr>
        <w:pStyle w:val="31"/>
        <w:ind w:firstLine="420"/>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 xml:space="preserve">GB/T 11022    《高压开关设备通用技术条件》 </w:t>
      </w:r>
    </w:p>
    <w:p>
      <w:pPr>
        <w:pStyle w:val="31"/>
        <w:ind w:firstLine="420"/>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GB1984        《交流高压断路器》</w:t>
      </w:r>
    </w:p>
    <w:p>
      <w:pPr>
        <w:spacing w:line="360" w:lineRule="auto"/>
        <w:ind w:firstLine="420" w:firstLineChars="200"/>
        <w:rPr>
          <w:rFonts w:hint="eastAsia" w:ascii="宋体" w:hAnsi="宋体" w:cs="宋体"/>
          <w:color w:val="auto"/>
          <w:kern w:val="0"/>
          <w:szCs w:val="21"/>
          <w:highlight w:val="none"/>
        </w:rPr>
      </w:pPr>
      <w:r>
        <w:rPr>
          <w:rFonts w:hint="eastAsia" w:ascii="宋体" w:hAnsi="宋体" w:cs="宋体"/>
          <w:color w:val="auto"/>
          <w:kern w:val="0"/>
          <w:szCs w:val="21"/>
          <w:highlight w:val="none"/>
        </w:rPr>
        <w:t>GB3906        《3~35kV交流金属封闭开关设备》。</w:t>
      </w:r>
    </w:p>
    <w:p>
      <w:pPr>
        <w:pStyle w:val="3"/>
        <w:numPr>
          <w:ilvl w:val="0"/>
          <w:numId w:val="0"/>
        </w:numPr>
        <w:spacing w:line="360" w:lineRule="auto"/>
        <w:rPr>
          <w:rFonts w:hint="eastAsia" w:ascii="宋体" w:hAnsi="宋体"/>
          <w:b/>
          <w:snapToGrid w:val="0"/>
          <w:color w:val="auto"/>
          <w:kern w:val="0"/>
          <w:szCs w:val="21"/>
          <w:highlight w:val="none"/>
        </w:rPr>
      </w:pPr>
      <w:bookmarkStart w:id="120" w:name="_Toc18957"/>
      <w:r>
        <w:rPr>
          <w:rFonts w:hint="eastAsia" w:ascii="宋体" w:hAnsi="宋体"/>
          <w:b/>
          <w:snapToGrid w:val="0"/>
          <w:color w:val="auto"/>
          <w:kern w:val="0"/>
          <w:szCs w:val="21"/>
          <w:highlight w:val="none"/>
        </w:rPr>
        <w:t>1.2  规格型号</w:t>
      </w:r>
      <w:bookmarkEnd w:id="120"/>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开关柜要求达到国内先进水平，投标产品必须是国内知名品牌产品、或其在中国境内合资厂生产的原装出厂产品，同时要求真空断路器、开关柜体和保护装置必须是同一品牌的产品，投标产品品牌和柜型应为同一品牌技术专利持有人，不接受派生的非主流柜型及非合资厂的OEM柜型。投标单位及投标产品必须满足本项要求，否则招标人有权拒绝投标人的投标书。</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柜型须招标选用充气环网柜</w:t>
      </w:r>
      <w:r>
        <w:rPr>
          <w:rFonts w:hint="eastAsia" w:ascii="宋体" w:hAnsi="宋体" w:cs="宋体"/>
          <w:color w:val="auto"/>
          <w:kern w:val="0"/>
          <w:szCs w:val="21"/>
          <w:highlight w:val="none"/>
          <w:lang w:val="de-DE"/>
        </w:rPr>
        <w:t>，柜体采用上进线上出线形式。</w:t>
      </w:r>
    </w:p>
    <w:p>
      <w:pPr>
        <w:pStyle w:val="3"/>
        <w:numPr>
          <w:ilvl w:val="0"/>
          <w:numId w:val="0"/>
        </w:numPr>
        <w:spacing w:line="360" w:lineRule="auto"/>
        <w:rPr>
          <w:rFonts w:hint="eastAsia" w:ascii="宋体" w:hAnsi="宋体"/>
          <w:b/>
          <w:snapToGrid w:val="0"/>
          <w:color w:val="auto"/>
          <w:kern w:val="0"/>
          <w:szCs w:val="21"/>
          <w:highlight w:val="none"/>
        </w:rPr>
      </w:pPr>
      <w:bookmarkStart w:id="121" w:name="_Toc11641"/>
      <w:r>
        <w:rPr>
          <w:rFonts w:hint="eastAsia" w:ascii="宋体" w:hAnsi="宋体"/>
          <w:b/>
          <w:snapToGrid w:val="0"/>
          <w:color w:val="auto"/>
          <w:kern w:val="0"/>
          <w:szCs w:val="21"/>
          <w:highlight w:val="none"/>
        </w:rPr>
        <w:t>1.3  主要技术参数</w:t>
      </w:r>
      <w:bookmarkEnd w:id="121"/>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1.3.1  额定电压：   12kV。</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1.3.2  额定频率:    50Hz。</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1.3.3  工频耐压（50Hz 1min）：相间及相地：42kV；</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1.3.4  雷电冲击耐压（1.2/50 μs，peak）：相间及相地：75kV；</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1.3.5  额定主母线电流：630A/1250A。</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1.3.6  额定短时耐受电流：25</w:t>
      </w:r>
      <w:r>
        <w:rPr>
          <w:rFonts w:ascii="宋体" w:hAnsi="宋体" w:cs="宋体"/>
          <w:color w:val="auto"/>
          <w:kern w:val="0"/>
          <w:szCs w:val="21"/>
          <w:highlight w:val="none"/>
        </w:rPr>
        <w:t>k</w:t>
      </w:r>
      <w:r>
        <w:rPr>
          <w:rFonts w:hint="eastAsia" w:ascii="宋体" w:hAnsi="宋体" w:cs="宋体"/>
          <w:color w:val="auto"/>
          <w:kern w:val="0"/>
          <w:szCs w:val="21"/>
          <w:highlight w:val="none"/>
        </w:rPr>
        <w:t>A/31.5kA（3秒，有效值）。</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1.3.7  额定峰值耐受电流：63KA/80kA。</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1.3.8  热稳定电流：25KA/31.5 kA 3S。</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1.3.9  防护等级：</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1）外壳IP4X ；</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2）手车门打开时为IP2X。</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1.3.10 抗震烈度8度，要求提供地震试验报告</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1.3.11 外型尺寸：满足设计图纸的安装位置要求。</w:t>
      </w:r>
    </w:p>
    <w:p>
      <w:pPr>
        <w:pStyle w:val="3"/>
        <w:numPr>
          <w:ilvl w:val="0"/>
          <w:numId w:val="0"/>
        </w:numPr>
        <w:spacing w:line="360" w:lineRule="auto"/>
        <w:rPr>
          <w:rFonts w:hint="eastAsia" w:ascii="宋体" w:hAnsi="宋体"/>
          <w:b/>
          <w:snapToGrid w:val="0"/>
          <w:color w:val="auto"/>
          <w:kern w:val="0"/>
          <w:szCs w:val="21"/>
          <w:highlight w:val="none"/>
        </w:rPr>
      </w:pPr>
      <w:bookmarkStart w:id="122" w:name="_Toc16144"/>
      <w:r>
        <w:rPr>
          <w:rFonts w:hint="eastAsia" w:ascii="宋体" w:hAnsi="宋体"/>
          <w:b/>
          <w:snapToGrid w:val="0"/>
          <w:color w:val="auto"/>
          <w:kern w:val="0"/>
          <w:szCs w:val="21"/>
          <w:highlight w:val="none"/>
        </w:rPr>
        <w:t>1.4  金属封闭铠装中置式手车开关柜柜体结构型式与功能</w:t>
      </w:r>
      <w:bookmarkEnd w:id="122"/>
    </w:p>
    <w:p>
      <w:pPr>
        <w:spacing w:line="360" w:lineRule="auto"/>
        <w:rPr>
          <w:rFonts w:hint="eastAsia" w:ascii="宋体" w:hAnsi="宋体" w:cs="宋体"/>
          <w:color w:val="auto"/>
          <w:kern w:val="0"/>
          <w:szCs w:val="21"/>
          <w:highlight w:val="none"/>
        </w:rPr>
      </w:pPr>
      <w:bookmarkStart w:id="123" w:name="_Toc330806364"/>
      <w:bookmarkStart w:id="124" w:name="_Toc330806637"/>
      <w:r>
        <w:rPr>
          <w:rFonts w:hint="eastAsia" w:ascii="宋体" w:hAnsi="宋体" w:cs="宋体"/>
          <w:color w:val="auto"/>
          <w:kern w:val="0"/>
          <w:szCs w:val="21"/>
          <w:highlight w:val="none"/>
        </w:rPr>
        <w:t xml:space="preserve">    10KV 铠装式交流金属封闭开关柜的结构应保证工作人员的安全，且便于运行、维护、检查、监视、检修和试验（提供31.5KA/1s燃弧试验报告）。开关柜内安装的高压电器组件均必须为加强绝缘型产品，满足凝露试验要求(提供凝露试验报告)</w:t>
      </w:r>
      <w:bookmarkEnd w:id="123"/>
      <w:bookmarkEnd w:id="124"/>
      <w:r>
        <w:rPr>
          <w:rFonts w:hint="eastAsia" w:ascii="宋体" w:hAnsi="宋体" w:cs="宋体"/>
          <w:color w:val="auto"/>
          <w:kern w:val="0"/>
          <w:szCs w:val="21"/>
          <w:highlight w:val="none"/>
        </w:rPr>
        <w:t>。</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1.4.1柜体结构</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1.4.1.1 柜体外壳及各功能单元的隔板均采用优质敷铝锌钢板，钢板厚度应不小于2.0mm。柜体框架采用不锈钢铆钉螺栓连接，保证开关柜外形尺寸+/-1mm精度。</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1.4.1.2 开关柜用隔板分隔成母线室、手车室、电缆室、仪表室和压力释放通道，各室外壳独立接地。对于正常运行时，运行人员可能触及的外壳金属件（例如门把手、铰链等）到接地铜排通DC 30A电流，压降不允许超过3V。</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1.4.1.3柜门和柜体其他部位应进行表面静电喷涂处理，提供门板喷涂霉菌试验报告。</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1.4.1.4开关柜丧失运行连续性等级必须为LSC-2B，隔板等级必须为PM级。</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1.4.1.5 维护方式：柜前操作，柜后维修。</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1.4.1.6 进出线方式：满足设计要求（详见图纸）。</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1.4.2 断路器室</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1.4.2.1 断路器手车采用冷轧钢板经加工后焊接而成。</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1.4.2.2 断路器手车应设有“工作”和“试验”位置，各位置设定位机构。</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1.4.2.3 断路器手车的传动机构应保证手车推拉时灵活轻便。同类手车应有良好的互换性。</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1.4.2.4 断路器手车在抽出或试验时，应有隔离挡板隔离一次静触头，进入工作位置时自动打开。</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1.4.2.5 断路器必须关门操作，即断路器在关门状态下实现由工作位置到试验位置或由试验位置到工作位置转换。</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1.4.2.6 断路器门采用加强门设计（凸门），保证在开关柜发生内部故障时不被冲开或变形。</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1.4.2.7 断路器门把手采用一体化设计，保证关门时，上中下位置同时锁紧。</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1.4.2.8 断路器室门的四周设置密封条，防止内部故障气体从门缝中喷出。</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1.4.2.9 断路器室观察窗采用双层防爆玻璃，厚度不小于8mm。</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1.4.3   母线室</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1.4.3.1 应有足够的空间通过满足设计要求的母线。</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1.4.3.2母线室没有支撑母线绝缘子，避免沿支撑绝缘子表面闪络故障发生。</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1.4.3.3开关柜的母线设计应考虑以后的发展、方便与原母线联接。</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1.4.4   电缆室</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1.4.4.1 室内可安装电流互感器、接地开关、避雷器以及电缆，其底部设有可拆卸的防涡流金属拼板，板上设电缆孔并提供电缆孔封堵部件。</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1.4.4.2接地开关与断路器间采用可靠的机械联锁，只有断路器在试验位置或移开位置时，才允许合接地开关，只有在接地开关合闸时才允许打开电缆室门，只有在电缆室门关闭时才允许分接地开关。</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1.4.4.3电缆室门采用加强门设计（凸门），保证在开关柜发生内部故障时不被冲开或变形。</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1.4.4.4电缆室门把手采用一体化设计，保证关门时，上中下位置同时锁紧。</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1.4.4.5电缆室门的四周设置密封条，防止内部故障气体从门缝中喷出。</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1.4.4.6电缆室观察窗采用双层防爆玻璃，厚度大于8mm。</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1.4.5   仪表室</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1.4.5.1 仪表室内可安装各类继电保护元件、仪表、信号指示、操作开关等元件。</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1.4.5.2 仪表室内侧板上留有小母线穿越孔，以方便施工。</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1.4.5.3 仪表室采用网格板固定二次元器件及线槽，方便二次元器件安装更换。</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1.4.6   泄压装置</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在母线室、手车室、电缆室上方均设有压力释放装置，当故障产生电弧时，该装置可将电弧引起的高压气体通过释放通道排出柜外，以免危及人身安全和防止事故扩大。</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1.4.7   防止误操作联锁装置</w:t>
      </w:r>
    </w:p>
    <w:p>
      <w:pPr>
        <w:spacing w:line="360" w:lineRule="auto"/>
        <w:ind w:firstLine="420" w:firstLineChars="200"/>
        <w:jc w:val="left"/>
        <w:rPr>
          <w:rFonts w:ascii="宋体" w:hAnsi="宋体" w:cs="宋体"/>
          <w:color w:val="auto"/>
          <w:kern w:val="0"/>
          <w:szCs w:val="21"/>
          <w:highlight w:val="none"/>
        </w:rPr>
      </w:pPr>
      <w:r>
        <w:rPr>
          <w:rFonts w:hint="eastAsia" w:ascii="宋体" w:hAnsi="宋体" w:cs="宋体"/>
          <w:color w:val="auto"/>
          <w:kern w:val="0"/>
          <w:szCs w:val="21"/>
          <w:highlight w:val="none"/>
        </w:rPr>
        <w:t>1.4.7.1 全部开关柜均应满足“五防”标准。</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w:t>
      </w:r>
      <w:r>
        <w:rPr>
          <w:rFonts w:ascii="宋体" w:hAnsi="宋体" w:cs="宋体"/>
          <w:color w:val="auto"/>
          <w:kern w:val="0"/>
          <w:szCs w:val="21"/>
          <w:highlight w:val="none"/>
        </w:rPr>
        <w:t xml:space="preserve">4.8   </w:t>
      </w:r>
      <w:r>
        <w:rPr>
          <w:rFonts w:hint="eastAsia" w:ascii="宋体" w:hAnsi="宋体" w:cs="宋体"/>
          <w:color w:val="auto"/>
          <w:kern w:val="0"/>
          <w:szCs w:val="21"/>
          <w:highlight w:val="none"/>
        </w:rPr>
        <w:t>操作电源，储能电机电源，装置电源分开，独立。</w:t>
      </w:r>
    </w:p>
    <w:p>
      <w:pPr>
        <w:numPr>
          <w:ilvl w:val="0"/>
          <w:numId w:val="27"/>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防止误分、误合断路器；</w:t>
      </w:r>
    </w:p>
    <w:p>
      <w:pPr>
        <w:numPr>
          <w:ilvl w:val="0"/>
          <w:numId w:val="27"/>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防止断路器在工作位置处于合闸状态时拉出断路器（即是：防止带负荷分、合隔离开关）；</w:t>
      </w:r>
    </w:p>
    <w:p>
      <w:pPr>
        <w:numPr>
          <w:ilvl w:val="0"/>
          <w:numId w:val="27"/>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防止带电合接地刀闸；</w:t>
      </w:r>
    </w:p>
    <w:p>
      <w:pPr>
        <w:numPr>
          <w:ilvl w:val="0"/>
          <w:numId w:val="27"/>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防止接地刀闸合闸时合断路器；</w:t>
      </w:r>
    </w:p>
    <w:p>
      <w:pPr>
        <w:numPr>
          <w:ilvl w:val="0"/>
          <w:numId w:val="27"/>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防止误入带电间隔；</w:t>
      </w:r>
    </w:p>
    <w:p>
      <w:pPr>
        <w:numPr>
          <w:ilvl w:val="0"/>
          <w:numId w:val="27"/>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另外还需满足：</w:t>
      </w:r>
    </w:p>
    <w:p>
      <w:pPr>
        <w:numPr>
          <w:ilvl w:val="0"/>
          <w:numId w:val="27"/>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防止断路器工作时拔除二次插头；</w:t>
      </w:r>
    </w:p>
    <w:p>
      <w:pPr>
        <w:numPr>
          <w:ilvl w:val="0"/>
          <w:numId w:val="27"/>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接地刀操作孔、门把手、断路器底盘摇进摇出操作孔、断路器室活门应预留挂锁孔位置。</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1.4.7.2 开关柜在手车式断路器移开位置时，金属活门，自动隔离电缆侧和母排侧。</w:t>
      </w:r>
    </w:p>
    <w:p>
      <w:pPr>
        <w:pStyle w:val="3"/>
        <w:numPr>
          <w:ilvl w:val="0"/>
          <w:numId w:val="0"/>
        </w:numPr>
        <w:spacing w:line="360" w:lineRule="auto"/>
        <w:rPr>
          <w:rFonts w:hint="eastAsia" w:ascii="宋体" w:hAnsi="宋体"/>
          <w:b/>
          <w:snapToGrid w:val="0"/>
          <w:color w:val="auto"/>
          <w:kern w:val="0"/>
          <w:szCs w:val="21"/>
          <w:highlight w:val="none"/>
        </w:rPr>
      </w:pPr>
      <w:bookmarkStart w:id="125" w:name="_Toc21419"/>
      <w:r>
        <w:rPr>
          <w:rFonts w:hint="eastAsia" w:ascii="宋体" w:hAnsi="宋体"/>
          <w:b/>
          <w:snapToGrid w:val="0"/>
          <w:color w:val="auto"/>
          <w:kern w:val="0"/>
          <w:szCs w:val="21"/>
          <w:highlight w:val="none"/>
        </w:rPr>
        <w:t>1.5  柜内的主要元器件、零部件</w:t>
      </w:r>
      <w:bookmarkEnd w:id="125"/>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1.5.1母排系统：</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高压开关柜间母线室相互隔离，全部母线必须采用进口绝缘套管(例如Raychem，3M)覆盖，且绝缘套管要经过三十年抗老化试验验证，并提供老化试验报告，母线搭接处镀银并以绝缘罩覆盖，且无导体裸露，为复合绝缘方式。母排要出厂前加工完毕，不允许现场加工，便于现场施工。</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1.5.1.1 母排材质：刚性、硬拉高导电的电解铜，含铜纯度不低于99.95%，导电率不低于97%（提供铜排材质证明）。</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1.5.1.2 母排额定电流：详设计图纸。</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1.5.1.3接地母排：提供满足系统要求的接地母排，要求接地母排为TMY-30x8m或同等截面铜排</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1.5.2   柜内辅助导线</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1.5.2.1 控制电缆和测量电缆均应为B类以上阻燃铜芯电缆。4芯以上的控制电缆应留有10％～20％的备用芯线，芯数多的电缆取低值，但最少备用芯数不小于2芯。</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1.5.2.2 所有电缆应为铜导线、PVC绝缘和PVC护层。</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1.5.2.3 控制电缆应为铜导线、PVC绝缘、PVC护层，要求适用于全部控制、保护、指示、仪器和报警，这些回路的电缆所承受实际负载应小于电缆额定容量的35％，截面积不能小于1.5mm²；电流互感器二次回路的电缆截面积不能小于2.5mm²；通讯电缆应是双绞PVC绝缘、PVC护层的屏蔽电缆。控制电缆屏蔽层需接地可靠，并且接地铜排和一次电缆接地排分开。</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1.5.2.3对于计费计量回路电流回路的电缆截面积不能小于4mm²，电压回路的电缆截面积不能小于2.5mm²。</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1.5.2.4 所有电缆应有足够的长度，以便万一原来的端接头断掉时，能重新进行连接。</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1.5.3   接地开关</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1.5.3.1设有接地开关或专用接地导体的高压柜，其接地开关和专用接地导体的动、热稳定电流，应为铭牌额定短路开断电流的100％。</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1.5.3.2接地开关在开关柜前操作，接地开关应为快速接地开关，机械寿命2000次，具备关合短路电流峰值2次能力，并提供试验报告。保证接地开关在回路故障情况下（带电），可以可靠接地。防止故障扩大或内部燃弧的发生。</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1.5.3.3 接地开关应具有机械联锁性能，以防止误操作。接地开关提供至少一对常开和一对常闭触点。</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1.5.3.4 操作方式：手动及电动。</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1.5.4 氧化锌避雷器，为保证质量推荐采用与开关柜同一品牌。其最大持续运行电压应大于最高运行线电压。</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1.5.5  仪表、互感器及其他辅助元件</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1.5.5.1 仪表，符合中国国家计量法规。应按招标图纸要求配置相关仪表。测量仪表准确级比互感器大一级，应采用数字表。计量表计、计量用CT/PT及其精确级应满足当地供电部门的要求。</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1.5.5.2 电流互感器应按IEC185标准选用,为保证质量推荐采用与开关柜同一品牌。互感器精度等级至少达到：</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测量回路   15VA，0.5级</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保护回路   10VA，5P级</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计量回路   0.2S级，并满足当地供电部门要求</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1.5.5.3 电压互感器应按IEC186标准选用，为保证质量要求可以在母排不断电的情况下调换熔丝。</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测量回路 0.5级，</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保护回路 3P级</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计量回路 0.2级，并满足当地供电部门要求</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额定二次输出：30～50VA</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电压互感器的额定电压因数要符合1.2倍Un长期运行和1.9倍Un运行8小时。</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1.5.5.4 柜内低压室盘面上设下列显示和控制装置</w:t>
      </w:r>
    </w:p>
    <w:p>
      <w:pPr>
        <w:numPr>
          <w:ilvl w:val="0"/>
          <w:numId w:val="28"/>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功能单元控制开关；</w:t>
      </w:r>
    </w:p>
    <w:p>
      <w:pPr>
        <w:numPr>
          <w:ilvl w:val="0"/>
          <w:numId w:val="28"/>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就地/遥控选择开关；</w:t>
      </w:r>
    </w:p>
    <w:p>
      <w:pPr>
        <w:numPr>
          <w:ilvl w:val="0"/>
          <w:numId w:val="28"/>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故障复归按钮；</w:t>
      </w:r>
    </w:p>
    <w:p>
      <w:pPr>
        <w:numPr>
          <w:ilvl w:val="0"/>
          <w:numId w:val="28"/>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试验端子。</w:t>
      </w:r>
    </w:p>
    <w:p>
      <w:pPr>
        <w:numPr>
          <w:ilvl w:val="0"/>
          <w:numId w:val="28"/>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三相式带电显示器。</w:t>
      </w:r>
    </w:p>
    <w:p>
      <w:pPr>
        <w:numPr>
          <w:ilvl w:val="0"/>
          <w:numId w:val="28"/>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断路器通断的指示灯</w:t>
      </w:r>
    </w:p>
    <w:p>
      <w:pPr>
        <w:numPr>
          <w:ilvl w:val="0"/>
          <w:numId w:val="28"/>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断路器储能指示灯</w:t>
      </w:r>
      <w:r>
        <w:rPr>
          <w:rFonts w:hint="eastAsia" w:ascii="宋体" w:hAnsi="宋体" w:cs="宋体"/>
          <w:color w:val="auto"/>
          <w:kern w:val="0"/>
          <w:szCs w:val="21"/>
          <w:highlight w:val="none"/>
        </w:rPr>
        <w:tab/>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1.5.5.5端子排</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端子采用国际著名品牌。预留25%的备用端子。</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1.5.5.6 照明小灯：</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柜内低压室、电缆室应装照明小灯，供观察、检修用，并接好电源线和在门内或门外设开关。</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 xml:space="preserve">1.5.5.7 防止凝露措施: </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开关柜内设板式加热器，为增加加热器与开关柜壳体之间热的传导，要求加热器直接固定在壳体上，不允固定在导轨或支架上，加热器24小时全天候投入运行。</w:t>
      </w:r>
    </w:p>
    <w:p>
      <w:pPr>
        <w:spacing w:line="360" w:lineRule="auto"/>
        <w:ind w:firstLine="422" w:firstLineChars="200"/>
        <w:jc w:val="left"/>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1.6断路器</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1.6.1 断路器型式：手车式真空断路器。</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1.6.2 型号：断路器采用满足技术要求的规格型号，必须为原装进口或国内合资企业生产，如真空断路器为合资企业生产，真空泡必须采用原装进口知名品牌，需提供原产地证明，选用真空灭弧室采用环氧树脂一体化浇铸成的断路器极柱，避免真空灭弧室直接裸露于空气中，防止其受外界污秽、撞击、凝露的损害，并可避免相间闪络。</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并且在国内拥有大量大型公共建筑成功使用经验、具备强大售后服务能力的熟知著名品牌的产品</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1.6.3 额定电压： 12kV。</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1.6.4 绝缘水平(相间、相对地、断路器断口间)：</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冲击耐压           峰值    75kV</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工频耐压           有效值  42kV，1min</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1.6.5 额定电流：进线及母联开关为1250A。</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额定开断电流：31.5kA。</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1.6.7 额定关合电流：进线及母联开关为80kA。</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1.6.8 热稳定电流：31.5kA，4S。</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1.6.9 动稳定电流：进线及母联开关为80kA。</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1.6.10 固有分闸时间：≤45ms，</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全开断时间：≤60ms。</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1.6.11  固有合闸时间：≤70ms。</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1.6.12  合闸三相不同期性：≤2ms。</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1.6.13  分闸三相不同期性：≤2ms。</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1.6.14  额定操作循环：O-0.3s-CO-180s-CO（无重合闸）。</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1.6.15  机械寿命：40000次。</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1.6.16  配有不可复位的断路器操作次数计数器。</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1.6.17  配带的显示器和控制器</w:t>
      </w:r>
    </w:p>
    <w:p>
      <w:pPr>
        <w:numPr>
          <w:ilvl w:val="0"/>
          <w:numId w:val="29"/>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断路器开断及闭合状态的机械显示和电气灯光指示。</w:t>
      </w:r>
    </w:p>
    <w:p>
      <w:pPr>
        <w:numPr>
          <w:ilvl w:val="0"/>
          <w:numId w:val="29"/>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电动机储能状态的机械显示和电气灯光指示。</w:t>
      </w:r>
    </w:p>
    <w:p>
      <w:pPr>
        <w:numPr>
          <w:ilvl w:val="0"/>
          <w:numId w:val="29"/>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手动弹簧释放装置。</w:t>
      </w:r>
    </w:p>
    <w:p>
      <w:pPr>
        <w:numPr>
          <w:ilvl w:val="0"/>
          <w:numId w:val="29"/>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手操弹簧储能装置。</w:t>
      </w:r>
    </w:p>
    <w:p>
      <w:pPr>
        <w:numPr>
          <w:ilvl w:val="0"/>
          <w:numId w:val="29"/>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采用面板上操作按钮进行储能电动机储能。</w:t>
      </w:r>
    </w:p>
    <w:p>
      <w:pPr>
        <w:numPr>
          <w:ilvl w:val="0"/>
          <w:numId w:val="29"/>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面板上装有紧急跳闸按钮。</w:t>
      </w:r>
    </w:p>
    <w:p>
      <w:pPr>
        <w:numPr>
          <w:ilvl w:val="0"/>
          <w:numId w:val="29"/>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手动合闸手柄供维修时慢速闭合断路器时用。</w:t>
      </w:r>
    </w:p>
    <w:p>
      <w:pPr>
        <w:numPr>
          <w:ilvl w:val="0"/>
          <w:numId w:val="29"/>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辅助接点的容量：5A/DC</w:t>
      </w:r>
      <w:r>
        <w:rPr>
          <w:rFonts w:hint="eastAsia" w:ascii="宋体" w:hAnsi="宋体" w:cs="宋体"/>
          <w:color w:val="auto"/>
          <w:kern w:val="0"/>
          <w:szCs w:val="21"/>
          <w:highlight w:val="none"/>
        </w:rPr>
        <w:tab/>
      </w:r>
      <w:r>
        <w:rPr>
          <w:rFonts w:hint="eastAsia" w:ascii="宋体" w:hAnsi="宋体" w:cs="宋体"/>
          <w:color w:val="auto"/>
          <w:kern w:val="0"/>
          <w:szCs w:val="21"/>
          <w:highlight w:val="none"/>
        </w:rPr>
        <w:t>DC220V。</w:t>
      </w:r>
    </w:p>
    <w:p>
      <w:pPr>
        <w:numPr>
          <w:ilvl w:val="0"/>
          <w:numId w:val="29"/>
        </w:num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辅助触点：不少于5对常开和5对常闭辅助触头，及不少于1对故障跳闸闭合辅助触头。</w:t>
      </w:r>
    </w:p>
    <w:p>
      <w:pPr>
        <w:spacing w:line="360" w:lineRule="auto"/>
        <w:ind w:firstLine="422" w:firstLineChars="200"/>
        <w:jc w:val="left"/>
        <w:rPr>
          <w:rFonts w:hint="eastAsia" w:ascii="宋体" w:hAnsi="宋体" w:cs="宋体"/>
          <w:b/>
          <w:bCs/>
          <w:color w:val="auto"/>
          <w:kern w:val="0"/>
          <w:szCs w:val="21"/>
          <w:highlight w:val="none"/>
        </w:rPr>
      </w:pPr>
      <w:bookmarkStart w:id="126" w:name="_Toc381926968"/>
      <w:bookmarkStart w:id="127" w:name="_Toc131171198"/>
      <w:r>
        <w:rPr>
          <w:rFonts w:hint="eastAsia" w:ascii="宋体" w:hAnsi="宋体" w:cs="宋体"/>
          <w:b/>
          <w:bCs/>
          <w:color w:val="auto"/>
          <w:kern w:val="0"/>
          <w:szCs w:val="21"/>
          <w:highlight w:val="none"/>
        </w:rPr>
        <w:t>1.7 断路器操作机构</w:t>
      </w:r>
      <w:bookmarkEnd w:id="126"/>
      <w:bookmarkEnd w:id="127"/>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断路器采用模块化操作机构，可分模块安装和更换，现场维护简单，有利于故障的快速诊断和排除。</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1.7.1型式:弹簧储能型，手动及电动操作。</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1.7.2操作机构额定电压：DC 220V。</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1.7.3操作机构储能时间：≤ 6秒。</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1.7.4操作机构消耗功率：≤200VA/W。</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1.7.5脱扣形式：分励脱扣。</w:t>
      </w:r>
    </w:p>
    <w:p>
      <w:pPr>
        <w:spacing w:line="360" w:lineRule="auto"/>
        <w:ind w:firstLine="420" w:firstLineChars="200"/>
        <w:jc w:val="left"/>
        <w:rPr>
          <w:rFonts w:hint="eastAsia" w:ascii="宋体" w:hAnsi="宋体" w:cs="宋体"/>
          <w:color w:val="auto"/>
          <w:kern w:val="0"/>
          <w:szCs w:val="21"/>
          <w:highlight w:val="none"/>
        </w:rPr>
      </w:pPr>
      <w:r>
        <w:rPr>
          <w:rFonts w:hint="eastAsia" w:ascii="宋体" w:hAnsi="宋体" w:cs="宋体"/>
          <w:color w:val="auto"/>
          <w:kern w:val="0"/>
          <w:szCs w:val="21"/>
          <w:highlight w:val="none"/>
        </w:rPr>
        <w:t>1.7.6分合闸线圈的操作电压必须符合国家标准。</w:t>
      </w:r>
    </w:p>
    <w:p>
      <w:pPr>
        <w:spacing w:line="360" w:lineRule="auto"/>
        <w:ind w:firstLine="420" w:firstLineChars="200"/>
        <w:jc w:val="left"/>
        <w:rPr>
          <w:rFonts w:ascii="宋体" w:hAnsi="宋体" w:cs="宋体"/>
          <w:color w:val="auto"/>
          <w:kern w:val="0"/>
          <w:szCs w:val="21"/>
          <w:highlight w:val="none"/>
        </w:rPr>
      </w:pPr>
      <w:r>
        <w:rPr>
          <w:rFonts w:hint="eastAsia" w:ascii="宋体" w:hAnsi="宋体" w:cs="宋体"/>
          <w:color w:val="auto"/>
          <w:kern w:val="0"/>
          <w:szCs w:val="21"/>
          <w:highlight w:val="none"/>
        </w:rPr>
        <w:t>1.7.7断路器储能手柄与断路器一体。</w:t>
      </w:r>
    </w:p>
    <w:p>
      <w:pPr>
        <w:spacing w:line="360" w:lineRule="auto"/>
        <w:ind w:firstLine="422" w:firstLineChars="200"/>
        <w:jc w:val="left"/>
        <w:rPr>
          <w:rFonts w:hint="eastAsia" w:ascii="宋体" w:hAnsi="宋体" w:cs="宋体"/>
          <w:b/>
          <w:bCs/>
          <w:color w:val="auto"/>
          <w:kern w:val="0"/>
          <w:szCs w:val="21"/>
          <w:highlight w:val="none"/>
        </w:rPr>
      </w:pPr>
      <w:r>
        <w:rPr>
          <w:rFonts w:hint="eastAsia" w:ascii="宋体" w:hAnsi="宋体" w:cs="宋体"/>
          <w:b/>
          <w:bCs/>
          <w:color w:val="auto"/>
          <w:kern w:val="0"/>
          <w:szCs w:val="21"/>
          <w:highlight w:val="none"/>
        </w:rPr>
        <w:t>1</w:t>
      </w:r>
      <w:r>
        <w:rPr>
          <w:rFonts w:ascii="宋体" w:hAnsi="宋体" w:cs="宋体"/>
          <w:b/>
          <w:bCs/>
          <w:color w:val="auto"/>
          <w:kern w:val="0"/>
          <w:szCs w:val="21"/>
          <w:highlight w:val="none"/>
        </w:rPr>
        <w:t xml:space="preserve">.8 </w:t>
      </w:r>
      <w:r>
        <w:rPr>
          <w:rFonts w:hint="eastAsia" w:ascii="宋体" w:hAnsi="宋体" w:cs="宋体"/>
          <w:b/>
          <w:bCs/>
          <w:color w:val="auto"/>
          <w:kern w:val="0"/>
          <w:szCs w:val="21"/>
          <w:highlight w:val="none"/>
        </w:rPr>
        <w:t>调试</w:t>
      </w:r>
    </w:p>
    <w:p>
      <w:pPr>
        <w:pStyle w:val="6"/>
        <w:tabs>
          <w:tab w:val="left" w:pos="545"/>
        </w:tabs>
        <w:spacing w:before="64"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rPr>
        <w:t>柜内元器件需有出厂测试报告，抵达现场后抽样检查；</w:t>
      </w:r>
    </w:p>
    <w:p>
      <w:pPr>
        <w:pStyle w:val="6"/>
        <w:tabs>
          <w:tab w:val="left" w:pos="545"/>
        </w:tabs>
        <w:spacing w:before="64"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现场测试包括但不局限于以下测试：现场交接试验，仪表校验，一次母排绝缘检查，母排相序检查，电流互感器电压互感器变比检查，绝缘检查，电流互感器不能有开路，电压互感器不能有短路，配置专用工具，备品备件。</w:t>
      </w: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bookmarkStart w:id="128" w:name="_Toc742"/>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ind w:firstLine="420" w:firstLineChars="200"/>
        <w:jc w:val="left"/>
        <w:rPr>
          <w:rFonts w:hint="eastAsia" w:ascii="宋体" w:hAnsi="宋体" w:cs="宋体"/>
          <w:color w:val="auto"/>
          <w:kern w:val="0"/>
          <w:szCs w:val="21"/>
          <w:highlight w:val="none"/>
        </w:rPr>
      </w:pPr>
    </w:p>
    <w:p>
      <w:pPr>
        <w:spacing w:line="360" w:lineRule="auto"/>
        <w:jc w:val="left"/>
        <w:rPr>
          <w:rFonts w:hint="eastAsia" w:ascii="宋体" w:hAnsi="宋体" w:cs="宋体"/>
          <w:color w:val="auto"/>
          <w:kern w:val="0"/>
          <w:szCs w:val="21"/>
          <w:highlight w:val="none"/>
        </w:rPr>
      </w:pPr>
    </w:p>
    <w:p>
      <w:pPr>
        <w:spacing w:line="360" w:lineRule="auto"/>
        <w:jc w:val="center"/>
        <w:outlineLvl w:val="0"/>
        <w:rPr>
          <w:rFonts w:hint="eastAsia" w:ascii="宋体" w:hAnsi="宋体" w:cs="宋体"/>
          <w:b/>
          <w:snapToGrid w:val="0"/>
          <w:color w:val="auto"/>
          <w:spacing w:val="1"/>
          <w:w w:val="99"/>
          <w:kern w:val="0"/>
          <w:sz w:val="32"/>
          <w:szCs w:val="32"/>
          <w:highlight w:val="none"/>
        </w:rPr>
      </w:pPr>
      <w:r>
        <w:rPr>
          <w:rFonts w:hint="eastAsia" w:ascii="宋体" w:hAnsi="宋体" w:cs="宋体"/>
          <w:b/>
          <w:snapToGrid w:val="0"/>
          <w:color w:val="auto"/>
          <w:spacing w:val="1"/>
          <w:w w:val="99"/>
          <w:kern w:val="0"/>
          <w:sz w:val="32"/>
          <w:szCs w:val="32"/>
          <w:highlight w:val="none"/>
        </w:rPr>
        <w:t>六、</w:t>
      </w:r>
      <w:r>
        <w:rPr>
          <w:rFonts w:ascii="宋体" w:hAnsi="宋体" w:cs="宋体"/>
          <w:b/>
          <w:snapToGrid w:val="0"/>
          <w:color w:val="auto"/>
          <w:spacing w:val="1"/>
          <w:w w:val="99"/>
          <w:kern w:val="0"/>
          <w:sz w:val="32"/>
          <w:szCs w:val="32"/>
          <w:highlight w:val="none"/>
        </w:rPr>
        <w:t>SVG+APF</w:t>
      </w:r>
      <w:r>
        <w:rPr>
          <w:rFonts w:hint="eastAsia" w:ascii="宋体" w:hAnsi="宋体" w:cs="宋体"/>
          <w:b/>
          <w:snapToGrid w:val="0"/>
          <w:color w:val="auto"/>
          <w:spacing w:val="1"/>
          <w:w w:val="99"/>
          <w:kern w:val="0"/>
          <w:sz w:val="32"/>
          <w:szCs w:val="32"/>
          <w:highlight w:val="none"/>
        </w:rPr>
        <w:t>有源滤波器技术规范书</w:t>
      </w:r>
      <w:bookmarkEnd w:id="128"/>
    </w:p>
    <w:p>
      <w:pPr>
        <w:spacing w:line="360" w:lineRule="auto"/>
        <w:jc w:val="center"/>
        <w:rPr>
          <w:rFonts w:ascii="宋体" w:hAnsi="宋体" w:cs="宋体"/>
          <w:b/>
          <w:snapToGrid w:val="0"/>
          <w:color w:val="auto"/>
          <w:spacing w:val="1"/>
          <w:w w:val="99"/>
          <w:kern w:val="0"/>
          <w:szCs w:val="21"/>
          <w:highlight w:val="none"/>
        </w:rPr>
      </w:pPr>
    </w:p>
    <w:p>
      <w:pPr>
        <w:spacing w:line="360" w:lineRule="auto"/>
        <w:jc w:val="center"/>
        <w:rPr>
          <w:rFonts w:hint="eastAsia" w:ascii="宋体" w:hAnsi="宋体" w:cs="宋体"/>
          <w:b/>
          <w:snapToGrid w:val="0"/>
          <w:color w:val="auto"/>
          <w:spacing w:val="1"/>
          <w:w w:val="99"/>
          <w:kern w:val="0"/>
          <w:szCs w:val="21"/>
          <w:highlight w:val="none"/>
        </w:rPr>
      </w:pPr>
      <w:r>
        <w:rPr>
          <w:rFonts w:ascii="宋体" w:hAnsi="宋体" w:cs="宋体"/>
          <w:b/>
          <w:snapToGrid w:val="0"/>
          <w:color w:val="auto"/>
          <w:spacing w:val="1"/>
          <w:w w:val="99"/>
          <w:kern w:val="0"/>
          <w:szCs w:val="21"/>
          <w:highlight w:val="none"/>
        </w:rPr>
        <w:t>APF</w:t>
      </w:r>
      <w:r>
        <w:rPr>
          <w:rFonts w:hint="eastAsia" w:ascii="宋体" w:hAnsi="宋体" w:cs="宋体"/>
          <w:b/>
          <w:snapToGrid w:val="0"/>
          <w:color w:val="auto"/>
          <w:spacing w:val="1"/>
          <w:w w:val="99"/>
          <w:kern w:val="0"/>
          <w:szCs w:val="21"/>
          <w:highlight w:val="none"/>
        </w:rPr>
        <w:t>有源滤波器技术规范书</w:t>
      </w:r>
    </w:p>
    <w:p>
      <w:pPr>
        <w:jc w:val="center"/>
        <w:rPr>
          <w:rFonts w:ascii="仿宋_GB2312" w:eastAsia="仿宋_GB2312"/>
          <w:b/>
          <w:bCs/>
          <w:color w:val="auto"/>
          <w:sz w:val="72"/>
          <w:highlight w:val="none"/>
        </w:rPr>
      </w:pPr>
      <w:bookmarkStart w:id="129" w:name="_Toc23337"/>
    </w:p>
    <w:p>
      <w:pPr>
        <w:numPr>
          <w:ilvl w:val="0"/>
          <w:numId w:val="30"/>
        </w:numPr>
        <w:spacing w:before="58"/>
        <w:outlineLvl w:val="2"/>
        <w:rPr>
          <w:rFonts w:ascii="宋体" w:hAnsi="宋体" w:cs="等线 Light"/>
          <w:b/>
          <w:bCs/>
          <w:color w:val="auto"/>
          <w:kern w:val="0"/>
          <w:szCs w:val="21"/>
          <w:highlight w:val="none"/>
        </w:rPr>
      </w:pPr>
      <w:r>
        <w:rPr>
          <w:rFonts w:hint="eastAsia" w:ascii="宋体" w:hAnsi="宋体" w:cs="等线 Light"/>
          <w:b/>
          <w:bCs/>
          <w:color w:val="auto"/>
          <w:kern w:val="0"/>
          <w:szCs w:val="21"/>
          <w:highlight w:val="none"/>
        </w:rPr>
        <w:t>概述</w:t>
      </w:r>
    </w:p>
    <w:p>
      <w:pPr>
        <w:widowControl/>
        <w:spacing w:line="440" w:lineRule="exact"/>
        <w:ind w:firstLine="420" w:firstLineChars="200"/>
        <w:jc w:val="left"/>
        <w:rPr>
          <w:rFonts w:ascii="宋体" w:hAnsi="宋体" w:cs="宋体"/>
          <w:color w:val="auto"/>
          <w:szCs w:val="21"/>
          <w:highlight w:val="none"/>
        </w:rPr>
      </w:pPr>
      <w:r>
        <w:rPr>
          <w:rFonts w:hint="eastAsia" w:ascii="宋体" w:hAnsi="宋体" w:cs="宋体"/>
          <w:color w:val="auto"/>
          <w:szCs w:val="21"/>
          <w:highlight w:val="none"/>
        </w:rPr>
        <w:t>APF是用于动态抑制谐波，补偿无功的新型电力电子装置，它能够通过采样负载电流并进行各次谐波和无功的分离，控制并主动输出电流的大小、频率和相位，并快速响应，抵消负载中相应的谐波电流，实现动态跟踪滤波补偿功能。APF具有机架式和壁挂式两种安装方式，具备单台独立监控和多台集中监控两种监控模式。</w:t>
      </w:r>
    </w:p>
    <w:p>
      <w:pPr>
        <w:numPr>
          <w:ilvl w:val="0"/>
          <w:numId w:val="30"/>
        </w:numPr>
        <w:spacing w:before="58"/>
        <w:outlineLvl w:val="2"/>
        <w:rPr>
          <w:rFonts w:ascii="宋体" w:hAnsi="宋体" w:cs="等线 Light"/>
          <w:b/>
          <w:bCs/>
          <w:color w:val="auto"/>
          <w:kern w:val="0"/>
          <w:szCs w:val="21"/>
          <w:highlight w:val="none"/>
        </w:rPr>
      </w:pPr>
      <w:r>
        <w:rPr>
          <w:rFonts w:hint="eastAsia" w:ascii="宋体" w:hAnsi="宋体" w:cs="等线 Light"/>
          <w:b/>
          <w:bCs/>
          <w:color w:val="auto"/>
          <w:kern w:val="0"/>
          <w:szCs w:val="21"/>
          <w:highlight w:val="none"/>
        </w:rPr>
        <w:t>标准与规范</w:t>
      </w:r>
    </w:p>
    <w:p>
      <w:pPr>
        <w:spacing w:line="360" w:lineRule="exact"/>
        <w:ind w:firstLine="420" w:firstLineChars="200"/>
        <w:rPr>
          <w:rFonts w:ascii="宋体" w:hAnsi="宋体"/>
          <w:color w:val="auto"/>
          <w:szCs w:val="21"/>
          <w:highlight w:val="none"/>
        </w:rPr>
      </w:pPr>
      <w:r>
        <w:rPr>
          <w:rFonts w:hint="eastAsia" w:ascii="宋体" w:hAnsi="宋体"/>
          <w:color w:val="auto"/>
          <w:szCs w:val="21"/>
          <w:highlight w:val="none"/>
        </w:rPr>
        <w:t>所有设备的设计、制造、试验应符合下列中国国家标准：</w:t>
      </w:r>
    </w:p>
    <w:p>
      <w:pPr>
        <w:rPr>
          <w:rFonts w:ascii="宋体" w:hAnsi="宋体"/>
          <w:color w:val="auto"/>
          <w:szCs w:val="21"/>
          <w:highlight w:val="none"/>
        </w:rPr>
      </w:pPr>
      <w:bookmarkStart w:id="130" w:name="_Toc100990644"/>
      <w:bookmarkStart w:id="131" w:name="_Toc100977494"/>
      <w:r>
        <w:rPr>
          <w:rFonts w:hint="eastAsia" w:ascii="宋体" w:hAnsi="宋体"/>
          <w:color w:val="auto"/>
          <w:szCs w:val="21"/>
          <w:highlight w:val="none"/>
        </w:rPr>
        <w:t xml:space="preserve">           </w:t>
      </w:r>
      <w:r>
        <w:rPr>
          <w:rFonts w:ascii="宋体" w:hAnsi="宋体"/>
          <w:color w:val="auto"/>
          <w:szCs w:val="21"/>
          <w:highlight w:val="none"/>
        </w:rPr>
        <w:t>GB</w:t>
      </w:r>
      <w:r>
        <w:rPr>
          <w:rFonts w:hint="eastAsia" w:ascii="宋体" w:hAnsi="宋体"/>
          <w:color w:val="auto"/>
          <w:szCs w:val="21"/>
          <w:highlight w:val="none"/>
        </w:rPr>
        <w:t>311.1</w:t>
      </w:r>
      <w:r>
        <w:rPr>
          <w:rFonts w:ascii="宋体" w:hAnsi="宋体"/>
          <w:color w:val="auto"/>
          <w:szCs w:val="21"/>
          <w:highlight w:val="none"/>
        </w:rPr>
        <w:t xml:space="preserve">              </w:t>
      </w:r>
      <w:r>
        <w:rPr>
          <w:rFonts w:hint="eastAsia" w:ascii="宋体" w:hAnsi="宋体"/>
          <w:color w:val="auto"/>
          <w:szCs w:val="21"/>
          <w:highlight w:val="none"/>
        </w:rPr>
        <w:tab/>
      </w:r>
      <w:r>
        <w:rPr>
          <w:rFonts w:hint="eastAsia" w:ascii="宋体" w:hAnsi="宋体"/>
          <w:color w:val="auto"/>
          <w:szCs w:val="21"/>
          <w:highlight w:val="none"/>
        </w:rPr>
        <w:tab/>
      </w:r>
      <w:r>
        <w:rPr>
          <w:rFonts w:hint="eastAsia" w:ascii="宋体" w:hAnsi="宋体"/>
          <w:color w:val="auto"/>
          <w:szCs w:val="21"/>
          <w:highlight w:val="none"/>
        </w:rPr>
        <w:t>绝缘配合  第1部分：定义、原则和规则</w:t>
      </w:r>
      <w:r>
        <w:rPr>
          <w:rFonts w:ascii="宋体" w:hAnsi="宋体"/>
          <w:color w:val="auto"/>
          <w:szCs w:val="21"/>
          <w:highlight w:val="none"/>
        </w:rPr>
        <w:t xml:space="preserve">； </w:t>
      </w:r>
    </w:p>
    <w:p>
      <w:pPr>
        <w:rPr>
          <w:rFonts w:ascii="宋体" w:hAnsi="宋体"/>
          <w:color w:val="auto"/>
          <w:szCs w:val="21"/>
          <w:highlight w:val="none"/>
        </w:rPr>
      </w:pPr>
      <w:r>
        <w:rPr>
          <w:rFonts w:hint="eastAsia" w:ascii="宋体" w:hAnsi="宋体"/>
          <w:color w:val="auto"/>
          <w:szCs w:val="21"/>
          <w:highlight w:val="none"/>
        </w:rPr>
        <w:t xml:space="preserve">           </w:t>
      </w:r>
      <w:r>
        <w:rPr>
          <w:rFonts w:ascii="宋体" w:hAnsi="宋体"/>
          <w:color w:val="auto"/>
          <w:szCs w:val="21"/>
          <w:highlight w:val="none"/>
        </w:rPr>
        <w:t>GB</w:t>
      </w:r>
      <w:r>
        <w:rPr>
          <w:rFonts w:hint="eastAsia" w:ascii="宋体" w:hAnsi="宋体"/>
          <w:color w:val="auto"/>
          <w:szCs w:val="21"/>
          <w:highlight w:val="none"/>
        </w:rPr>
        <w:t>1094</w:t>
      </w:r>
      <w:r>
        <w:rPr>
          <w:rFonts w:ascii="宋体" w:hAnsi="宋体"/>
          <w:color w:val="auto"/>
          <w:szCs w:val="21"/>
          <w:highlight w:val="none"/>
        </w:rPr>
        <w:t xml:space="preserve">   </w:t>
      </w:r>
      <w:r>
        <w:rPr>
          <w:rFonts w:hint="eastAsia" w:ascii="宋体" w:hAnsi="宋体"/>
          <w:color w:val="auto"/>
          <w:szCs w:val="21"/>
          <w:highlight w:val="none"/>
        </w:rPr>
        <w:t xml:space="preserve">           </w:t>
      </w:r>
      <w:r>
        <w:rPr>
          <w:rFonts w:hint="eastAsia" w:ascii="宋体" w:hAnsi="宋体"/>
          <w:color w:val="auto"/>
          <w:szCs w:val="21"/>
          <w:highlight w:val="none"/>
        </w:rPr>
        <w:tab/>
      </w:r>
      <w:r>
        <w:rPr>
          <w:rFonts w:hint="eastAsia" w:ascii="宋体" w:hAnsi="宋体"/>
          <w:color w:val="auto"/>
          <w:szCs w:val="21"/>
          <w:highlight w:val="none"/>
        </w:rPr>
        <w:tab/>
      </w:r>
      <w:r>
        <w:rPr>
          <w:rFonts w:hint="eastAsia" w:ascii="宋体" w:hAnsi="宋体"/>
          <w:color w:val="auto"/>
          <w:szCs w:val="21"/>
          <w:highlight w:val="none"/>
        </w:rPr>
        <w:t>电力变压器(所有部分)；</w:t>
      </w:r>
    </w:p>
    <w:p>
      <w:pPr>
        <w:rPr>
          <w:rFonts w:ascii="宋体" w:hAnsi="宋体"/>
          <w:color w:val="auto"/>
          <w:szCs w:val="21"/>
          <w:highlight w:val="none"/>
        </w:rPr>
      </w:pPr>
      <w:r>
        <w:rPr>
          <w:rFonts w:hint="eastAsia" w:ascii="宋体" w:hAnsi="宋体"/>
          <w:color w:val="auto"/>
          <w:szCs w:val="21"/>
          <w:highlight w:val="none"/>
        </w:rPr>
        <w:t xml:space="preserve">           GB/T 15543-2008</w:t>
      </w:r>
      <w:r>
        <w:rPr>
          <w:rFonts w:hint="eastAsia" w:ascii="宋体" w:hAnsi="宋体"/>
          <w:color w:val="auto"/>
          <w:szCs w:val="21"/>
          <w:highlight w:val="none"/>
        </w:rPr>
        <w:tab/>
      </w:r>
      <w:r>
        <w:rPr>
          <w:rFonts w:hint="eastAsia" w:ascii="宋体" w:hAnsi="宋体"/>
          <w:color w:val="auto"/>
          <w:szCs w:val="21"/>
          <w:highlight w:val="none"/>
        </w:rPr>
        <w:t>电能质量 三相不平衡</w:t>
      </w:r>
    </w:p>
    <w:p>
      <w:pPr>
        <w:rPr>
          <w:rFonts w:ascii="宋体" w:hAnsi="宋体"/>
          <w:color w:val="auto"/>
          <w:szCs w:val="21"/>
          <w:highlight w:val="none"/>
        </w:rPr>
      </w:pPr>
      <w:r>
        <w:rPr>
          <w:rFonts w:hint="eastAsia" w:ascii="宋体" w:hAnsi="宋体"/>
          <w:color w:val="auto"/>
          <w:szCs w:val="21"/>
          <w:highlight w:val="none"/>
        </w:rPr>
        <w:t xml:space="preserve">           DL/T 621</w:t>
      </w:r>
      <w:r>
        <w:rPr>
          <w:rFonts w:hint="eastAsia" w:ascii="宋体" w:hAnsi="宋体"/>
          <w:color w:val="auto"/>
          <w:szCs w:val="21"/>
          <w:highlight w:val="none"/>
        </w:rPr>
        <w:tab/>
      </w:r>
      <w:r>
        <w:rPr>
          <w:rFonts w:hint="eastAsia" w:ascii="宋体" w:hAnsi="宋体"/>
          <w:color w:val="auto"/>
          <w:szCs w:val="21"/>
          <w:highlight w:val="none"/>
        </w:rPr>
        <w:tab/>
      </w:r>
      <w:r>
        <w:rPr>
          <w:rFonts w:hint="eastAsia" w:ascii="宋体" w:hAnsi="宋体"/>
          <w:color w:val="auto"/>
          <w:szCs w:val="21"/>
          <w:highlight w:val="none"/>
        </w:rPr>
        <w:tab/>
      </w:r>
      <w:r>
        <w:rPr>
          <w:rFonts w:hint="eastAsia" w:ascii="宋体" w:hAnsi="宋体"/>
          <w:color w:val="auto"/>
          <w:szCs w:val="21"/>
          <w:highlight w:val="none"/>
        </w:rPr>
        <w:t>流电气装置的接地</w:t>
      </w:r>
    </w:p>
    <w:p>
      <w:pPr>
        <w:rPr>
          <w:rFonts w:ascii="宋体" w:hAnsi="宋体"/>
          <w:color w:val="auto"/>
          <w:szCs w:val="21"/>
          <w:highlight w:val="none"/>
        </w:rPr>
      </w:pPr>
      <w:r>
        <w:rPr>
          <w:rFonts w:hint="eastAsia" w:ascii="宋体" w:hAnsi="宋体"/>
          <w:color w:val="auto"/>
          <w:szCs w:val="21"/>
          <w:highlight w:val="none"/>
        </w:rPr>
        <w:t xml:space="preserve">           DL/T1216-201</w:t>
      </w:r>
      <w:r>
        <w:rPr>
          <w:rFonts w:ascii="宋体" w:hAnsi="宋体"/>
          <w:color w:val="auto"/>
          <w:szCs w:val="21"/>
          <w:highlight w:val="none"/>
        </w:rPr>
        <w:t>9</w:t>
      </w:r>
      <w:r>
        <w:rPr>
          <w:rFonts w:hint="eastAsia" w:ascii="宋体" w:hAnsi="宋体"/>
          <w:color w:val="auto"/>
          <w:szCs w:val="21"/>
          <w:highlight w:val="none"/>
        </w:rPr>
        <w:tab/>
      </w:r>
      <w:r>
        <w:rPr>
          <w:rFonts w:hint="eastAsia" w:ascii="宋体" w:hAnsi="宋体"/>
          <w:color w:val="auto"/>
          <w:szCs w:val="21"/>
          <w:highlight w:val="none"/>
        </w:rPr>
        <w:tab/>
      </w:r>
      <w:r>
        <w:rPr>
          <w:rFonts w:hint="eastAsia" w:ascii="宋体" w:hAnsi="宋体"/>
          <w:color w:val="auto"/>
          <w:szCs w:val="21"/>
          <w:highlight w:val="none"/>
        </w:rPr>
        <w:t>配电网静止同步补偿装置技术规范</w:t>
      </w:r>
    </w:p>
    <w:p>
      <w:pPr>
        <w:rPr>
          <w:rFonts w:ascii="宋体" w:hAnsi="宋体"/>
          <w:color w:val="auto"/>
          <w:szCs w:val="21"/>
          <w:highlight w:val="none"/>
        </w:rPr>
      </w:pPr>
      <w:r>
        <w:rPr>
          <w:rFonts w:hint="eastAsia" w:ascii="宋体" w:hAnsi="宋体"/>
          <w:color w:val="auto"/>
          <w:szCs w:val="21"/>
          <w:highlight w:val="none"/>
        </w:rPr>
        <w:t xml:space="preserve">           GB2894</w:t>
      </w:r>
      <w:r>
        <w:rPr>
          <w:rFonts w:hint="eastAsia" w:ascii="宋体" w:hAnsi="宋体"/>
          <w:color w:val="auto"/>
          <w:szCs w:val="21"/>
          <w:highlight w:val="none"/>
        </w:rPr>
        <w:tab/>
      </w:r>
      <w:r>
        <w:rPr>
          <w:rFonts w:hint="eastAsia" w:ascii="宋体" w:hAnsi="宋体"/>
          <w:color w:val="auto"/>
          <w:szCs w:val="21"/>
          <w:highlight w:val="none"/>
        </w:rPr>
        <w:tab/>
      </w:r>
      <w:r>
        <w:rPr>
          <w:rFonts w:hint="eastAsia" w:ascii="宋体" w:hAnsi="宋体"/>
          <w:color w:val="auto"/>
          <w:szCs w:val="21"/>
          <w:highlight w:val="none"/>
        </w:rPr>
        <w:tab/>
      </w:r>
      <w:r>
        <w:rPr>
          <w:rFonts w:hint="eastAsia" w:ascii="宋体" w:hAnsi="宋体"/>
          <w:color w:val="auto"/>
          <w:szCs w:val="21"/>
          <w:highlight w:val="none"/>
        </w:rPr>
        <w:t>安全标志极其使用导则</w:t>
      </w:r>
      <w:r>
        <w:rPr>
          <w:rFonts w:ascii="宋体" w:hAnsi="宋体"/>
          <w:color w:val="auto"/>
          <w:szCs w:val="21"/>
          <w:highlight w:val="none"/>
        </w:rPr>
        <w:t>；</w:t>
      </w:r>
      <w:bookmarkEnd w:id="130"/>
      <w:bookmarkEnd w:id="131"/>
      <w:r>
        <w:rPr>
          <w:rFonts w:hint="eastAsia" w:ascii="宋体" w:hAnsi="宋体"/>
          <w:color w:val="auto"/>
          <w:szCs w:val="21"/>
          <w:highlight w:val="none"/>
        </w:rPr>
        <w:t>产品名称和型号</w:t>
      </w:r>
    </w:p>
    <w:p>
      <w:pPr>
        <w:rPr>
          <w:rFonts w:ascii="宋体" w:hAnsi="宋体"/>
          <w:color w:val="auto"/>
          <w:szCs w:val="21"/>
          <w:highlight w:val="none"/>
        </w:rPr>
      </w:pPr>
      <w:r>
        <w:rPr>
          <w:rFonts w:hint="eastAsia" w:ascii="宋体" w:hAnsi="宋体"/>
          <w:color w:val="auto"/>
          <w:szCs w:val="21"/>
          <w:highlight w:val="none"/>
        </w:rPr>
        <w:t xml:space="preserve">           GB/T 14549-1993  《电能质量 公用电网谐波》</w:t>
      </w:r>
    </w:p>
    <w:p>
      <w:pPr>
        <w:rPr>
          <w:rFonts w:ascii="宋体" w:hAnsi="宋体"/>
          <w:color w:val="auto"/>
          <w:szCs w:val="21"/>
          <w:highlight w:val="none"/>
        </w:rPr>
      </w:pPr>
      <w:r>
        <w:rPr>
          <w:rFonts w:hint="eastAsia" w:ascii="宋体" w:hAnsi="宋体"/>
          <w:color w:val="auto"/>
          <w:szCs w:val="21"/>
          <w:highlight w:val="none"/>
        </w:rPr>
        <w:t xml:space="preserve">           GB/T12325-2003《电能质量 供电电压允许偏差》</w:t>
      </w:r>
    </w:p>
    <w:p>
      <w:pPr>
        <w:rPr>
          <w:rFonts w:ascii="宋体" w:hAnsi="宋体"/>
          <w:color w:val="auto"/>
          <w:szCs w:val="21"/>
          <w:highlight w:val="none"/>
        </w:rPr>
      </w:pPr>
      <w:r>
        <w:rPr>
          <w:rFonts w:hint="eastAsia" w:ascii="宋体" w:hAnsi="宋体"/>
          <w:color w:val="auto"/>
          <w:szCs w:val="21"/>
          <w:highlight w:val="none"/>
        </w:rPr>
        <w:t xml:space="preserve">           GB/T12326-2000《电能质量 电压的波动与闪变》</w:t>
      </w:r>
    </w:p>
    <w:p>
      <w:pPr>
        <w:rPr>
          <w:rFonts w:ascii="宋体" w:hAnsi="宋体"/>
          <w:color w:val="auto"/>
          <w:szCs w:val="21"/>
          <w:highlight w:val="none"/>
        </w:rPr>
      </w:pPr>
      <w:r>
        <w:rPr>
          <w:rFonts w:hint="eastAsia" w:ascii="宋体" w:hAnsi="宋体"/>
          <w:color w:val="auto"/>
          <w:szCs w:val="21"/>
          <w:highlight w:val="none"/>
        </w:rPr>
        <w:t xml:space="preserve">           GB/T15543-1995《电能质量 三相电压允许不平衡度》</w:t>
      </w:r>
    </w:p>
    <w:p>
      <w:pPr>
        <w:rPr>
          <w:rFonts w:ascii="宋体" w:hAnsi="宋体"/>
          <w:color w:val="auto"/>
          <w:szCs w:val="21"/>
          <w:highlight w:val="none"/>
        </w:rPr>
      </w:pPr>
      <w:r>
        <w:rPr>
          <w:rFonts w:hint="eastAsia" w:ascii="宋体" w:hAnsi="宋体"/>
          <w:color w:val="auto"/>
          <w:szCs w:val="21"/>
          <w:highlight w:val="none"/>
        </w:rPr>
        <w:t xml:space="preserve">           GB/T15945-1995《电能质量 电力系统频率允许偏差》</w:t>
      </w:r>
    </w:p>
    <w:p>
      <w:pPr>
        <w:rPr>
          <w:rFonts w:ascii="宋体" w:hAnsi="宋体"/>
          <w:color w:val="auto"/>
          <w:szCs w:val="21"/>
          <w:highlight w:val="none"/>
        </w:rPr>
      </w:pPr>
      <w:r>
        <w:rPr>
          <w:rFonts w:hint="eastAsia" w:ascii="宋体" w:hAnsi="宋体"/>
          <w:color w:val="auto"/>
          <w:szCs w:val="21"/>
          <w:highlight w:val="none"/>
        </w:rPr>
        <w:t xml:space="preserve">          下列IEC标准可以作为参照标准：</w:t>
      </w:r>
    </w:p>
    <w:p>
      <w:pPr>
        <w:rPr>
          <w:rFonts w:ascii="宋体" w:hAnsi="宋体"/>
          <w:color w:val="auto"/>
          <w:szCs w:val="21"/>
          <w:highlight w:val="none"/>
        </w:rPr>
      </w:pPr>
      <w:r>
        <w:rPr>
          <w:rFonts w:hint="eastAsia" w:ascii="宋体" w:hAnsi="宋体"/>
          <w:color w:val="auto"/>
          <w:szCs w:val="21"/>
          <w:highlight w:val="none"/>
        </w:rPr>
        <w:t xml:space="preserve">          IEC60439            《低压开关设备和控制设备成套装置》</w:t>
      </w:r>
    </w:p>
    <w:p>
      <w:pPr>
        <w:rPr>
          <w:rFonts w:ascii="宋体" w:hAnsi="宋体"/>
          <w:color w:val="auto"/>
          <w:szCs w:val="21"/>
          <w:highlight w:val="none"/>
        </w:rPr>
      </w:pPr>
      <w:r>
        <w:rPr>
          <w:rFonts w:hint="eastAsia" w:ascii="宋体" w:hAnsi="宋体"/>
          <w:color w:val="auto"/>
          <w:szCs w:val="21"/>
          <w:highlight w:val="none"/>
        </w:rPr>
        <w:t xml:space="preserve">          IEC60529（2001-02）  《外壳防护等级》</w:t>
      </w:r>
    </w:p>
    <w:p>
      <w:pPr>
        <w:rPr>
          <w:rFonts w:ascii="宋体" w:hAnsi="宋体"/>
          <w:color w:val="auto"/>
          <w:szCs w:val="21"/>
          <w:highlight w:val="none"/>
        </w:rPr>
      </w:pPr>
      <w:r>
        <w:rPr>
          <w:rFonts w:hint="eastAsia" w:ascii="宋体" w:hAnsi="宋体"/>
          <w:color w:val="auto"/>
          <w:szCs w:val="21"/>
          <w:highlight w:val="none"/>
        </w:rPr>
        <w:t xml:space="preserve">          IEC60664            《低压系统内部的绝缘匹配》</w:t>
      </w:r>
    </w:p>
    <w:p>
      <w:pPr>
        <w:rPr>
          <w:rFonts w:ascii="宋体" w:hAnsi="宋体"/>
          <w:color w:val="auto"/>
          <w:szCs w:val="21"/>
          <w:highlight w:val="none"/>
        </w:rPr>
      </w:pPr>
      <w:r>
        <w:rPr>
          <w:rFonts w:hint="eastAsia" w:ascii="宋体" w:hAnsi="宋体"/>
          <w:color w:val="auto"/>
          <w:szCs w:val="21"/>
          <w:highlight w:val="none"/>
        </w:rPr>
        <w:t xml:space="preserve">          IEC60947            《低压开关设备和控制设备》</w:t>
      </w:r>
    </w:p>
    <w:p>
      <w:pPr>
        <w:rPr>
          <w:rFonts w:ascii="宋体" w:hAnsi="宋体"/>
          <w:color w:val="auto"/>
          <w:szCs w:val="21"/>
          <w:highlight w:val="none"/>
        </w:rPr>
      </w:pPr>
      <w:r>
        <w:rPr>
          <w:rFonts w:hint="eastAsia" w:ascii="宋体" w:hAnsi="宋体"/>
          <w:color w:val="auto"/>
          <w:szCs w:val="21"/>
          <w:highlight w:val="none"/>
        </w:rPr>
        <w:t xml:space="preserve">          IEC61000            《电磁兼容EMC》</w:t>
      </w:r>
    </w:p>
    <w:p>
      <w:pPr>
        <w:rPr>
          <w:rFonts w:ascii="宋体" w:hAnsi="宋体"/>
          <w:color w:val="auto"/>
          <w:szCs w:val="21"/>
          <w:highlight w:val="none"/>
        </w:rPr>
      </w:pPr>
      <w:r>
        <w:rPr>
          <w:rFonts w:hint="eastAsia" w:ascii="宋体" w:hAnsi="宋体"/>
          <w:color w:val="auto"/>
          <w:szCs w:val="21"/>
          <w:highlight w:val="none"/>
        </w:rPr>
        <w:t xml:space="preserve"> </w:t>
      </w:r>
      <w:r>
        <w:rPr>
          <w:rFonts w:ascii="宋体" w:hAnsi="宋体"/>
          <w:color w:val="auto"/>
          <w:szCs w:val="21"/>
          <w:highlight w:val="none"/>
        </w:rPr>
        <w:t xml:space="preserve">         </w:t>
      </w:r>
      <w:r>
        <w:rPr>
          <w:rFonts w:hint="eastAsia" w:ascii="宋体" w:hAnsi="宋体"/>
          <w:color w:val="auto"/>
          <w:szCs w:val="21"/>
          <w:highlight w:val="none"/>
        </w:rPr>
        <w:t>JB/T</w:t>
      </w:r>
      <w:r>
        <w:rPr>
          <w:rFonts w:ascii="宋体" w:hAnsi="宋体"/>
          <w:color w:val="auto"/>
          <w:szCs w:val="21"/>
          <w:highlight w:val="none"/>
        </w:rPr>
        <w:t>11067</w:t>
      </w:r>
      <w:r>
        <w:rPr>
          <w:rFonts w:hint="eastAsia" w:ascii="宋体" w:hAnsi="宋体"/>
          <w:color w:val="auto"/>
          <w:szCs w:val="21"/>
          <w:highlight w:val="none"/>
        </w:rPr>
        <w:t>-</w:t>
      </w:r>
      <w:r>
        <w:rPr>
          <w:rFonts w:ascii="宋体" w:hAnsi="宋体"/>
          <w:color w:val="auto"/>
          <w:szCs w:val="21"/>
          <w:highlight w:val="none"/>
        </w:rPr>
        <w:t>2011   低压有源滤波装置</w:t>
      </w:r>
    </w:p>
    <w:p>
      <w:pPr>
        <w:numPr>
          <w:ilvl w:val="0"/>
          <w:numId w:val="30"/>
        </w:numPr>
        <w:spacing w:before="58"/>
        <w:outlineLvl w:val="2"/>
        <w:rPr>
          <w:rFonts w:ascii="宋体" w:hAnsi="宋体" w:cs="等线 Light"/>
          <w:b/>
          <w:bCs/>
          <w:color w:val="auto"/>
          <w:kern w:val="0"/>
          <w:szCs w:val="21"/>
          <w:highlight w:val="none"/>
        </w:rPr>
      </w:pPr>
      <w:r>
        <w:rPr>
          <w:rFonts w:hint="eastAsia" w:ascii="宋体" w:hAnsi="宋体" w:cs="等线 Light"/>
          <w:b/>
          <w:bCs/>
          <w:color w:val="auto"/>
          <w:kern w:val="0"/>
          <w:szCs w:val="21"/>
          <w:highlight w:val="none"/>
        </w:rPr>
        <w:t>技术参数</w:t>
      </w:r>
      <w:bookmarkStart w:id="132" w:name="_Toc417292244"/>
    </w:p>
    <w:p>
      <w:pPr>
        <w:spacing w:before="156" w:beforeLines="50" w:after="156" w:afterLines="50" w:line="360" w:lineRule="auto"/>
        <w:jc w:val="left"/>
        <w:outlineLvl w:val="2"/>
        <w:rPr>
          <w:rFonts w:ascii="宋体" w:hAnsi="宋体"/>
          <w:color w:val="auto"/>
          <w:szCs w:val="21"/>
          <w:highlight w:val="none"/>
        </w:rPr>
      </w:pPr>
      <w:r>
        <w:rPr>
          <w:rFonts w:hint="eastAsia" w:ascii="宋体" w:hAnsi="宋体" w:cs="等线 Light"/>
          <w:b/>
          <w:bCs/>
          <w:color w:val="auto"/>
          <w:kern w:val="0"/>
          <w:szCs w:val="21"/>
          <w:highlight w:val="none"/>
        </w:rPr>
        <w:t xml:space="preserve"> </w:t>
      </w:r>
      <w:r>
        <w:rPr>
          <w:rFonts w:hint="eastAsia" w:ascii="宋体" w:hAnsi="宋体"/>
          <w:color w:val="auto"/>
          <w:szCs w:val="21"/>
          <w:highlight w:val="none"/>
        </w:rPr>
        <w:t>3.1环境要求</w:t>
      </w:r>
      <w:bookmarkEnd w:id="132"/>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szCs w:val="21"/>
          <w:highlight w:val="none"/>
        </w:rPr>
      </w:pPr>
      <w:r>
        <w:rPr>
          <w:rFonts w:hint="eastAsia" w:ascii="宋体" w:hAnsi="宋体" w:eastAsia="宋体" w:cs="宋体"/>
          <w:color w:val="auto"/>
          <w:kern w:val="2"/>
          <w:szCs w:val="21"/>
          <w:highlight w:val="none"/>
        </w:rPr>
        <w:t>存储温度：</w:t>
      </w:r>
      <w:r>
        <w:rPr>
          <w:rFonts w:hint="eastAsia" w:ascii="宋体" w:hAnsi="宋体" w:eastAsia="宋体" w:cs="宋体"/>
          <w:color w:val="auto"/>
          <w:szCs w:val="21"/>
          <w:highlight w:val="none"/>
        </w:rPr>
        <w:t>－40℃～+70℃</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snapToGrid w:val="0"/>
          <w:color w:val="auto"/>
          <w:szCs w:val="21"/>
          <w:highlight w:val="none"/>
        </w:rPr>
      </w:pPr>
      <w:r>
        <w:rPr>
          <w:rFonts w:hint="eastAsia" w:ascii="宋体" w:hAnsi="宋体" w:eastAsia="宋体" w:cs="宋体"/>
          <w:color w:val="auto"/>
          <w:kern w:val="2"/>
          <w:szCs w:val="21"/>
          <w:highlight w:val="none"/>
        </w:rPr>
        <w:t>工作温度：</w:t>
      </w:r>
      <w:r>
        <w:rPr>
          <w:rFonts w:hint="eastAsia" w:ascii="宋体" w:hAnsi="宋体" w:eastAsia="宋体" w:cs="宋体"/>
          <w:color w:val="auto"/>
          <w:szCs w:val="21"/>
          <w:highlight w:val="none"/>
        </w:rPr>
        <w:t xml:space="preserve"> -10℃～+40℃</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湿度要求：</w:t>
      </w:r>
      <w:r>
        <w:rPr>
          <w:rFonts w:hint="eastAsia" w:ascii="宋体" w:hAnsi="宋体" w:eastAsia="宋体" w:cs="宋体"/>
          <w:color w:val="auto"/>
          <w:szCs w:val="21"/>
          <w:highlight w:val="none"/>
        </w:rPr>
        <w:t>-25～+50℃</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海拔高度：1500m，在1500m-4000m。根据国标GB/T3859.2,每上升100m，功率降低1%。</w:t>
      </w:r>
    </w:p>
    <w:p>
      <w:pPr>
        <w:spacing w:before="156" w:beforeLines="50" w:after="156" w:afterLines="50" w:line="360" w:lineRule="auto"/>
        <w:jc w:val="left"/>
        <w:outlineLvl w:val="2"/>
        <w:rPr>
          <w:rFonts w:ascii="宋体" w:hAnsi="宋体"/>
          <w:color w:val="auto"/>
          <w:szCs w:val="21"/>
          <w:highlight w:val="none"/>
        </w:rPr>
      </w:pPr>
      <w:bookmarkStart w:id="133" w:name="_Toc417292245"/>
      <w:r>
        <w:rPr>
          <w:rFonts w:hint="eastAsia" w:ascii="宋体" w:hAnsi="宋体"/>
          <w:color w:val="auto"/>
          <w:szCs w:val="21"/>
          <w:highlight w:val="none"/>
        </w:rPr>
        <w:t xml:space="preserve"> 3.2电气性能</w:t>
      </w:r>
      <w:bookmarkEnd w:id="133"/>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工作电压：AC380V（-40%～+20%）</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工作频率：45～63HZ</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相线额定补偿电流：25A/50A/75A/100A/150A</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电网结构：三相三线/三相四线，硬件兼容设计，只需通过软件更改</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并联台数：单台集中监控模块最多可带八台功率模块</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整机效率：&gt;97</w:t>
      </w:r>
      <w:r>
        <w:rPr>
          <w:rFonts w:ascii="宋体" w:hAnsi="宋体" w:eastAsia="宋体" w:cs="宋体"/>
          <w:color w:val="auto"/>
          <w:kern w:val="2"/>
          <w:szCs w:val="21"/>
          <w:highlight w:val="none"/>
        </w:rPr>
        <w:t>.5</w:t>
      </w:r>
      <w:r>
        <w:rPr>
          <w:rFonts w:hint="eastAsia" w:ascii="宋体" w:hAnsi="宋体" w:eastAsia="宋体" w:cs="宋体"/>
          <w:color w:val="auto"/>
          <w:kern w:val="2"/>
          <w:szCs w:val="21"/>
          <w:highlight w:val="none"/>
        </w:rPr>
        <w:t>%</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开关频率：≥20kHz(平均)</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防护等级：IP20</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olor w:val="auto"/>
          <w:szCs w:val="21"/>
          <w:highlight w:val="none"/>
        </w:rPr>
      </w:pPr>
      <w:r>
        <w:rPr>
          <w:rFonts w:hint="eastAsia" w:ascii="宋体" w:hAnsi="宋体" w:eastAsia="宋体" w:cs="宋体"/>
          <w:color w:val="auto"/>
          <w:kern w:val="2"/>
          <w:szCs w:val="21"/>
          <w:highlight w:val="none"/>
        </w:rPr>
        <w:t>母线电压泄放时间</w:t>
      </w:r>
      <w:bookmarkStart w:id="134" w:name="_Toc417292246"/>
      <w:r>
        <w:rPr>
          <w:rFonts w:hint="eastAsia" w:ascii="宋体" w:hAnsi="宋体" w:eastAsia="宋体" w:cs="宋体"/>
          <w:color w:val="auto"/>
          <w:kern w:val="2"/>
          <w:szCs w:val="21"/>
          <w:highlight w:val="none"/>
        </w:rPr>
        <w:t>：≤2分钟</w:t>
      </w:r>
      <w:r>
        <w:rPr>
          <w:rFonts w:hint="eastAsia" w:ascii="宋体" w:hAnsi="宋体" w:eastAsia="宋体"/>
          <w:color w:val="auto"/>
          <w:kern w:val="2"/>
          <w:szCs w:val="21"/>
          <w:highlight w:val="none"/>
        </w:rPr>
        <w:t>（</w:t>
      </w:r>
      <w:r>
        <w:rPr>
          <w:rFonts w:hint="eastAsia" w:ascii="宋体" w:hAnsi="宋体" w:eastAsia="宋体" w:cs="Arial Unicode MS"/>
          <w:color w:val="auto"/>
          <w:kern w:val="2"/>
          <w:szCs w:val="21"/>
          <w:highlight w:val="none"/>
          <w:u w:color="000000"/>
        </w:rPr>
        <w:t>降至DC60V安全电压</w:t>
      </w:r>
      <w:r>
        <w:rPr>
          <w:rFonts w:hint="eastAsia" w:ascii="宋体" w:hAnsi="宋体" w:eastAsia="宋体"/>
          <w:color w:val="auto"/>
          <w:kern w:val="2"/>
          <w:szCs w:val="21"/>
          <w:highlight w:val="none"/>
        </w:rPr>
        <w:t>）</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人机交互界面：采用4.3英寸彩色触摸屏</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噪音：≤60dB</w:t>
      </w:r>
    </w:p>
    <w:p>
      <w:pPr>
        <w:pStyle w:val="35"/>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rPr>
          <w:rFonts w:ascii="宋体" w:hAnsi="宋体" w:eastAsia="宋体"/>
          <w:color w:val="auto"/>
          <w:szCs w:val="21"/>
          <w:highlight w:val="none"/>
        </w:rPr>
      </w:pPr>
      <w:r>
        <w:rPr>
          <w:rFonts w:hint="eastAsia" w:ascii="宋体" w:hAnsi="宋体" w:eastAsia="宋体"/>
          <w:color w:val="auto"/>
          <w:szCs w:val="21"/>
          <w:highlight w:val="none"/>
        </w:rPr>
        <w:t>3.3功能描述</w:t>
      </w:r>
      <w:bookmarkEnd w:id="134"/>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滤波范围：2～50次，且次数可选，单次补偿率可调</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控制算法：FFT、瞬时无功</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功能选择：补偿谐波、谐波加无功、谐波无功及不平衡可选</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谐波补偿率：&gt;95%</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中性线滤波能力：三相四线制中性线滤波能力为相滤波能力的3倍</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等线 Light"/>
          <w:color w:val="auto"/>
          <w:szCs w:val="21"/>
          <w:highlight w:val="none"/>
        </w:rPr>
      </w:pPr>
      <w:r>
        <w:rPr>
          <w:rFonts w:hint="eastAsia" w:ascii="宋体" w:hAnsi="宋体" w:eastAsia="宋体" w:cs="宋体"/>
          <w:color w:val="auto"/>
          <w:kern w:val="2"/>
          <w:szCs w:val="21"/>
          <w:highlight w:val="none"/>
        </w:rPr>
        <w:t>无功补偿能力：具备无功补偿功能，可补偿感性无功和容性无功</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滤波 效 果：谐波补偿率 谐≥95%，设备投入后谐波电 流含 量≤5%</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快速响应时间：&lt;50us</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等线 Light"/>
          <w:color w:val="auto"/>
          <w:szCs w:val="21"/>
          <w:highlight w:val="none"/>
        </w:rPr>
      </w:pPr>
      <w:r>
        <w:rPr>
          <w:rFonts w:hint="eastAsia" w:ascii="宋体" w:hAnsi="宋体" w:eastAsia="宋体" w:cs="宋体"/>
          <w:color w:val="auto"/>
          <w:kern w:val="2"/>
          <w:szCs w:val="21"/>
          <w:highlight w:val="none"/>
        </w:rPr>
        <w:t>全响应时间：&lt;</w:t>
      </w:r>
      <w:r>
        <w:rPr>
          <w:rFonts w:ascii="宋体" w:hAnsi="宋体" w:eastAsia="宋体" w:cs="宋体"/>
          <w:color w:val="auto"/>
          <w:kern w:val="2"/>
          <w:szCs w:val="21"/>
          <w:highlight w:val="none"/>
        </w:rPr>
        <w:t>5</w:t>
      </w:r>
      <w:r>
        <w:rPr>
          <w:rFonts w:hint="eastAsia" w:ascii="宋体" w:hAnsi="宋体" w:eastAsia="宋体" w:cs="宋体"/>
          <w:color w:val="auto"/>
          <w:kern w:val="2"/>
          <w:szCs w:val="21"/>
          <w:highlight w:val="none"/>
        </w:rPr>
        <w:t>ms</w:t>
      </w:r>
      <w:r>
        <w:rPr>
          <w:rFonts w:ascii="宋体" w:hAnsi="宋体" w:eastAsia="宋体" w:cs="宋体"/>
          <w:color w:val="auto"/>
          <w:kern w:val="2"/>
          <w:szCs w:val="21"/>
          <w:highlight w:val="none"/>
        </w:rPr>
        <w:t>(</w:t>
      </w:r>
      <w:r>
        <w:rPr>
          <w:rFonts w:hint="eastAsia" w:ascii="宋体" w:hAnsi="宋体" w:eastAsia="宋体" w:cs="宋体"/>
          <w:color w:val="auto"/>
          <w:kern w:val="2"/>
          <w:szCs w:val="21"/>
          <w:highlight w:val="none"/>
        </w:rPr>
        <w:t>需提供第三方检测报告)</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功率损耗：&lt;</w:t>
      </w:r>
      <w:r>
        <w:rPr>
          <w:rFonts w:ascii="宋体" w:hAnsi="宋体" w:eastAsia="宋体" w:cs="宋体"/>
          <w:color w:val="auto"/>
          <w:kern w:val="2"/>
          <w:szCs w:val="21"/>
          <w:highlight w:val="none"/>
        </w:rPr>
        <w:t>2.5</w:t>
      </w:r>
      <w:r>
        <w:rPr>
          <w:rFonts w:hint="eastAsia" w:ascii="宋体" w:hAnsi="宋体" w:eastAsia="宋体" w:cs="宋体"/>
          <w:color w:val="auto"/>
          <w:kern w:val="2"/>
          <w:szCs w:val="21"/>
          <w:highlight w:val="none"/>
        </w:rPr>
        <w:t>%额定模块功率</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ind w:left="902"/>
        <w:rPr>
          <w:rFonts w:ascii="宋体" w:hAnsi="宋体" w:eastAsia="宋体" w:cs="宋体"/>
          <w:color w:val="auto"/>
          <w:kern w:val="2"/>
          <w:szCs w:val="21"/>
          <w:highlight w:val="none"/>
        </w:rPr>
      </w:pPr>
      <w:r>
        <w:rPr>
          <w:rFonts w:hint="eastAsia" w:ascii="宋体" w:hAnsi="宋体" w:eastAsia="宋体" w:cs="宋体"/>
          <w:color w:val="auto"/>
          <w:kern w:val="2"/>
          <w:szCs w:val="21"/>
          <w:highlight w:val="none"/>
        </w:rPr>
        <w:t>有源滤波器自身的效率≥97.</w:t>
      </w:r>
      <w:r>
        <w:rPr>
          <w:rFonts w:ascii="宋体" w:hAnsi="宋体" w:eastAsia="宋体" w:cs="宋体"/>
          <w:color w:val="auto"/>
          <w:kern w:val="2"/>
          <w:szCs w:val="21"/>
          <w:highlight w:val="none"/>
        </w:rPr>
        <w:t>5</w:t>
      </w:r>
      <w:r>
        <w:rPr>
          <w:rFonts w:hint="eastAsia" w:ascii="宋体" w:hAnsi="宋体" w:eastAsia="宋体" w:cs="宋体"/>
          <w:color w:val="auto"/>
          <w:kern w:val="2"/>
          <w:szCs w:val="21"/>
          <w:highlight w:val="none"/>
        </w:rPr>
        <w:t>%</w:t>
      </w:r>
    </w:p>
    <w:p>
      <w:pPr>
        <w:pStyle w:val="35"/>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rPr>
          <w:rFonts w:ascii="宋体" w:hAnsi="宋体" w:eastAsia="宋体"/>
          <w:color w:val="auto"/>
          <w:szCs w:val="21"/>
          <w:highlight w:val="none"/>
        </w:rPr>
      </w:pPr>
      <w:r>
        <w:rPr>
          <w:rFonts w:hint="eastAsia" w:ascii="宋体" w:hAnsi="宋体" w:eastAsia="宋体"/>
          <w:color w:val="auto"/>
          <w:szCs w:val="21"/>
          <w:highlight w:val="none"/>
        </w:rPr>
        <w:t>3.4安全要求</w:t>
      </w:r>
    </w:p>
    <w:p>
      <w:pPr>
        <w:pStyle w:val="35"/>
        <w:numPr>
          <w:ilvl w:val="0"/>
          <w:numId w:val="31"/>
        </w:num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rPr>
          <w:rFonts w:hint="eastAsia" w:ascii="宋体" w:hAnsi="宋体" w:eastAsia="宋体" w:cs="宋体"/>
          <w:color w:val="auto"/>
          <w:kern w:val="2"/>
          <w:szCs w:val="21"/>
          <w:highlight w:val="none"/>
        </w:rPr>
      </w:pPr>
      <w:r>
        <w:rPr>
          <w:rFonts w:hint="eastAsia" w:ascii="宋体" w:hAnsi="宋体" w:eastAsia="宋体" w:cs="宋体"/>
          <w:color w:val="auto"/>
          <w:kern w:val="2"/>
          <w:szCs w:val="21"/>
          <w:highlight w:val="none"/>
        </w:rPr>
        <w:t>有源电力滤波器应取得CQC认证证书、CE证书并提供国家权威机构出具的型式试验报告。</w:t>
      </w:r>
    </w:p>
    <w:p>
      <w:pPr>
        <w:pStyle w:val="35"/>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s>
        <w:adjustRightInd w:val="0"/>
        <w:snapToGrid w:val="0"/>
        <w:spacing w:line="460" w:lineRule="exact"/>
        <w:rPr>
          <w:rFonts w:ascii="宋体" w:hAnsi="宋体" w:eastAsia="宋体"/>
          <w:color w:val="auto"/>
          <w:szCs w:val="21"/>
          <w:highlight w:val="none"/>
        </w:rPr>
      </w:pPr>
    </w:p>
    <w:p>
      <w:pPr>
        <w:numPr>
          <w:ilvl w:val="0"/>
          <w:numId w:val="30"/>
        </w:numPr>
        <w:spacing w:before="58"/>
        <w:outlineLvl w:val="2"/>
        <w:rPr>
          <w:rFonts w:ascii="宋体" w:hAnsi="宋体" w:cs="等线 Light"/>
          <w:b/>
          <w:bCs/>
          <w:color w:val="auto"/>
          <w:kern w:val="0"/>
          <w:szCs w:val="21"/>
          <w:highlight w:val="none"/>
        </w:rPr>
      </w:pPr>
      <w:r>
        <w:rPr>
          <w:rFonts w:hint="eastAsia" w:ascii="宋体" w:hAnsi="宋体" w:cs="等线 Light"/>
          <w:b/>
          <w:bCs/>
          <w:color w:val="auto"/>
          <w:kern w:val="0"/>
          <w:szCs w:val="21"/>
          <w:highlight w:val="none"/>
        </w:rPr>
        <w:t>功能特点</w:t>
      </w:r>
    </w:p>
    <w:p>
      <w:pPr>
        <w:spacing w:before="156" w:beforeLines="50" w:after="156" w:afterLines="50" w:line="360" w:lineRule="auto"/>
        <w:ind w:right="113"/>
        <w:jc w:val="left"/>
        <w:rPr>
          <w:rFonts w:ascii="宋体" w:hAnsi="宋体" w:cs="微软雅黑"/>
          <w:color w:val="auto"/>
          <w:kern w:val="0"/>
          <w:szCs w:val="21"/>
          <w:highlight w:val="none"/>
        </w:rPr>
      </w:pPr>
      <w:r>
        <w:rPr>
          <w:rFonts w:hint="eastAsia" w:ascii="宋体" w:hAnsi="宋体" w:cs="微软雅黑"/>
          <w:color w:val="auto"/>
          <w:kern w:val="0"/>
          <w:szCs w:val="21"/>
          <w:highlight w:val="none"/>
        </w:rPr>
        <w:t>4.1</w:t>
      </w:r>
      <w:r>
        <w:rPr>
          <w:rFonts w:hint="eastAsia" w:ascii="宋体" w:hAnsi="宋体" w:cs="微软雅黑"/>
          <w:color w:val="auto"/>
          <w:spacing w:val="-1"/>
          <w:kern w:val="0"/>
          <w:szCs w:val="21"/>
          <w:highlight w:val="none"/>
        </w:rPr>
        <w:t>控制系统采用FPGA+ARM的多核处理器架构，充分利用FPGA的硬件并行优势，不仅可以提高数据的采集和运算速度。而且可以解决串行软件DSP处理技术电磁兼容性差、易死机等问题。要求FPGA控制芯片厂家为进口品牌，需提供报关单。</w:t>
      </w:r>
      <w:r>
        <w:rPr>
          <w:rFonts w:hint="eastAsia" w:ascii="宋体" w:hAnsi="宋体" w:cs="微软雅黑"/>
          <w:color w:val="auto"/>
          <w:kern w:val="0"/>
          <w:szCs w:val="21"/>
          <w:highlight w:val="none"/>
        </w:rPr>
        <w:t>， 主控芯片部分必须做三防处理；</w:t>
      </w:r>
    </w:p>
    <w:p>
      <w:pPr>
        <w:spacing w:before="156" w:beforeLines="50" w:after="156" w:afterLines="50" w:line="360" w:lineRule="auto"/>
        <w:jc w:val="left"/>
        <w:rPr>
          <w:rFonts w:ascii="宋体" w:hAnsi="宋体" w:cs="微软雅黑"/>
          <w:color w:val="auto"/>
          <w:kern w:val="0"/>
          <w:szCs w:val="21"/>
          <w:highlight w:val="none"/>
        </w:rPr>
      </w:pPr>
      <w:r>
        <w:rPr>
          <w:rFonts w:hint="eastAsia" w:ascii="宋体" w:hAnsi="宋体" w:cs="微软雅黑"/>
          <w:color w:val="auto"/>
          <w:kern w:val="0"/>
          <w:szCs w:val="21"/>
          <w:highlight w:val="none"/>
        </w:rPr>
        <w:t>4.2</w:t>
      </w:r>
      <w:r>
        <w:rPr>
          <w:rFonts w:hint="eastAsia" w:ascii="宋体" w:hAnsi="宋体" w:cs="微软雅黑"/>
          <w:color w:val="auto"/>
          <w:kern w:val="0"/>
          <w:szCs w:val="21"/>
          <w:highlight w:val="none"/>
        </w:rPr>
        <w:t>有源滤波模块采用先进的三电平拓扑结构，输出更接近完美正弦波，开关损耗和导通损耗降低，系统效率更高；IGBT模块要求必须采用国际知名品牌产品，如：英飞凌、富士、西门康；</w:t>
      </w:r>
    </w:p>
    <w:p>
      <w:pPr>
        <w:spacing w:before="156" w:beforeLines="50" w:after="156" w:afterLines="50" w:line="360" w:lineRule="auto"/>
        <w:jc w:val="left"/>
        <w:rPr>
          <w:rFonts w:ascii="宋体" w:hAnsi="宋体" w:cs="微软雅黑"/>
          <w:color w:val="auto"/>
          <w:kern w:val="0"/>
          <w:szCs w:val="21"/>
          <w:highlight w:val="none"/>
        </w:rPr>
      </w:pPr>
      <w:r>
        <w:rPr>
          <w:rFonts w:hint="eastAsia" w:ascii="宋体" w:hAnsi="宋体" w:cs="微软雅黑"/>
          <w:color w:val="auto"/>
          <w:kern w:val="0"/>
          <w:szCs w:val="21"/>
          <w:highlight w:val="none"/>
        </w:rPr>
        <w:t>4.3</w:t>
      </w:r>
      <w:r>
        <w:rPr>
          <w:rFonts w:hint="eastAsia" w:ascii="宋体" w:hAnsi="宋体" w:cs="微软雅黑"/>
          <w:color w:val="auto"/>
          <w:spacing w:val="-1"/>
          <w:kern w:val="0"/>
          <w:szCs w:val="21"/>
          <w:highlight w:val="none"/>
        </w:rPr>
        <w:t>有源滤波模块</w:t>
      </w:r>
      <w:r>
        <w:rPr>
          <w:rFonts w:hint="eastAsia" w:ascii="宋体" w:hAnsi="宋体" w:cs="微软雅黑"/>
          <w:color w:val="auto"/>
          <w:kern w:val="0"/>
          <w:szCs w:val="21"/>
          <w:highlight w:val="none"/>
        </w:rPr>
        <w:t>具备柔性并网技术，保证并网时对电网设备的冲击电流最小，增强系统可靠性，延长设备使用寿命；</w:t>
      </w:r>
    </w:p>
    <w:p>
      <w:pPr>
        <w:spacing w:before="156" w:beforeLines="50" w:after="156" w:afterLines="50" w:line="360" w:lineRule="auto"/>
        <w:jc w:val="left"/>
        <w:rPr>
          <w:rFonts w:ascii="宋体" w:hAnsi="宋体" w:cs="微软雅黑"/>
          <w:color w:val="auto"/>
          <w:kern w:val="0"/>
          <w:szCs w:val="21"/>
          <w:highlight w:val="none"/>
        </w:rPr>
      </w:pPr>
      <w:r>
        <w:rPr>
          <w:rFonts w:hint="eastAsia" w:ascii="宋体" w:hAnsi="宋体" w:cs="微软雅黑"/>
          <w:color w:val="auto"/>
          <w:kern w:val="0"/>
          <w:szCs w:val="21"/>
          <w:highlight w:val="none"/>
        </w:rPr>
        <w:t>4.4</w:t>
      </w:r>
      <w:r>
        <w:rPr>
          <w:rFonts w:hint="eastAsia" w:ascii="宋体" w:hAnsi="宋体" w:cs="微软雅黑"/>
          <w:color w:val="auto"/>
          <w:kern w:val="0"/>
          <w:szCs w:val="21"/>
          <w:highlight w:val="none"/>
        </w:rPr>
        <w:t>采</w:t>
      </w:r>
      <w:r>
        <w:rPr>
          <w:rFonts w:hint="eastAsia" w:ascii="宋体" w:hAnsi="宋体" w:cs="微软雅黑"/>
          <w:color w:val="auto"/>
          <w:spacing w:val="-1"/>
          <w:kern w:val="0"/>
          <w:szCs w:val="21"/>
          <w:highlight w:val="none"/>
        </w:rPr>
        <w:t>有源滤波模块</w:t>
      </w:r>
      <w:r>
        <w:rPr>
          <w:rFonts w:hint="eastAsia" w:ascii="宋体" w:hAnsi="宋体" w:cs="微软雅黑"/>
          <w:color w:val="auto"/>
          <w:kern w:val="0"/>
          <w:szCs w:val="21"/>
          <w:highlight w:val="none"/>
        </w:rPr>
        <w:t>用智能风冷控制散热技术，自带散热风扇,风机能够实现在待机与运行状态不同转速运转，确保使用寿命和散热效果</w:t>
      </w:r>
      <w:r>
        <w:rPr>
          <w:rFonts w:hint="eastAsia" w:ascii="宋体" w:hAnsi="宋体" w:cs="微软雅黑"/>
          <w:color w:val="auto"/>
          <w:kern w:val="0"/>
          <w:szCs w:val="21"/>
          <w:highlight w:val="none"/>
        </w:rPr>
        <w:t>；</w:t>
      </w:r>
    </w:p>
    <w:p>
      <w:pPr>
        <w:spacing w:before="156" w:beforeLines="50" w:after="156" w:afterLines="50" w:line="360" w:lineRule="auto"/>
        <w:ind w:right="216"/>
        <w:rPr>
          <w:rFonts w:ascii="宋体" w:hAnsi="宋体" w:cs="微软雅黑"/>
          <w:color w:val="auto"/>
          <w:kern w:val="0"/>
          <w:szCs w:val="21"/>
          <w:highlight w:val="none"/>
        </w:rPr>
      </w:pPr>
      <w:r>
        <w:rPr>
          <w:rFonts w:hint="eastAsia" w:ascii="宋体" w:hAnsi="宋体" w:cs="微软雅黑"/>
          <w:color w:val="auto"/>
          <w:spacing w:val="-1"/>
          <w:kern w:val="0"/>
          <w:szCs w:val="21"/>
          <w:highlight w:val="none"/>
        </w:rPr>
        <w:t>4.5有源滤波模块应采用先进的独立风道设计，所有控制部分包括A</w:t>
      </w:r>
      <w:r>
        <w:rPr>
          <w:rFonts w:ascii="宋体" w:hAnsi="宋体" w:cs="微软雅黑"/>
          <w:color w:val="auto"/>
          <w:spacing w:val="-1"/>
          <w:kern w:val="0"/>
          <w:szCs w:val="21"/>
          <w:highlight w:val="none"/>
        </w:rPr>
        <w:t xml:space="preserve">RM </w:t>
      </w:r>
      <w:r>
        <w:rPr>
          <w:rFonts w:hint="eastAsia" w:ascii="宋体" w:hAnsi="宋体" w:cs="微软雅黑"/>
          <w:color w:val="auto"/>
          <w:spacing w:val="-1"/>
          <w:kern w:val="0"/>
          <w:szCs w:val="21"/>
          <w:highlight w:val="none"/>
        </w:rPr>
        <w:t>、FPGA以及 IGBT等元器件应位于独立的内部空间，避免粉尘吸附所带来的设备故障；</w:t>
      </w:r>
    </w:p>
    <w:p>
      <w:pPr>
        <w:spacing w:before="156" w:beforeLines="50" w:after="156" w:afterLines="50" w:line="360" w:lineRule="auto"/>
        <w:jc w:val="left"/>
        <w:rPr>
          <w:rFonts w:ascii="宋体" w:hAnsi="宋体" w:cs="微软雅黑"/>
          <w:color w:val="auto"/>
          <w:spacing w:val="9"/>
          <w:kern w:val="0"/>
          <w:szCs w:val="21"/>
          <w:highlight w:val="none"/>
        </w:rPr>
      </w:pPr>
      <w:r>
        <w:rPr>
          <w:rFonts w:hint="eastAsia" w:ascii="宋体" w:hAnsi="宋体" w:cs="微软雅黑"/>
          <w:color w:val="auto"/>
          <w:spacing w:val="9"/>
          <w:kern w:val="0"/>
          <w:szCs w:val="21"/>
          <w:highlight w:val="none"/>
        </w:rPr>
        <w:t>4.6</w:t>
      </w:r>
      <w:r>
        <w:rPr>
          <w:rFonts w:hint="eastAsia" w:ascii="宋体" w:hAnsi="宋体" w:cs="微软雅黑"/>
          <w:color w:val="auto"/>
          <w:spacing w:val="1"/>
          <w:kern w:val="0"/>
          <w:szCs w:val="21"/>
          <w:highlight w:val="none"/>
        </w:rPr>
        <w:t>有源滤波模块</w:t>
      </w:r>
      <w:r>
        <w:rPr>
          <w:rFonts w:hint="eastAsia" w:ascii="宋体" w:hAnsi="宋体" w:cs="微软雅黑"/>
          <w:color w:val="auto"/>
          <w:spacing w:val="9"/>
          <w:kern w:val="0"/>
          <w:szCs w:val="21"/>
          <w:highlight w:val="none"/>
        </w:rPr>
        <w:t>能同时滤除三相四线制配电系统中 2~50 次各次谐波，能同时滤除多种谐波</w:t>
      </w:r>
      <w:r>
        <w:rPr>
          <w:rFonts w:hint="eastAsia" w:ascii="宋体" w:hAnsi="宋体" w:cs="微软雅黑"/>
          <w:color w:val="auto"/>
          <w:spacing w:val="9"/>
          <w:kern w:val="0"/>
          <w:szCs w:val="21"/>
          <w:highlight w:val="none"/>
        </w:rPr>
        <w:t>；</w:t>
      </w:r>
    </w:p>
    <w:p>
      <w:pPr>
        <w:spacing w:before="156" w:beforeLines="50" w:after="156" w:afterLines="50" w:line="360" w:lineRule="auto"/>
        <w:jc w:val="left"/>
        <w:rPr>
          <w:rFonts w:ascii="宋体" w:hAnsi="宋体" w:cs="微软雅黑"/>
          <w:color w:val="auto"/>
          <w:kern w:val="0"/>
          <w:szCs w:val="21"/>
          <w:highlight w:val="none"/>
        </w:rPr>
      </w:pPr>
      <w:r>
        <w:rPr>
          <w:rFonts w:hint="eastAsia" w:ascii="宋体" w:hAnsi="宋体" w:cs="微软雅黑"/>
          <w:color w:val="auto"/>
          <w:spacing w:val="1"/>
          <w:kern w:val="0"/>
          <w:szCs w:val="21"/>
          <w:highlight w:val="none"/>
        </w:rPr>
        <w:t>4.7有源滤波模块应独立于电网阻抗及系统阻抗之外，不受电网阻抗和系统阻抗变化的影</w:t>
      </w:r>
      <w:r>
        <w:rPr>
          <w:rFonts w:hint="eastAsia" w:ascii="宋体" w:hAnsi="宋体" w:cs="微软雅黑"/>
          <w:color w:val="auto"/>
          <w:kern w:val="0"/>
          <w:szCs w:val="21"/>
          <w:highlight w:val="none"/>
        </w:rPr>
        <w:t>响；</w:t>
      </w:r>
    </w:p>
    <w:p>
      <w:pPr>
        <w:spacing w:before="156" w:beforeLines="50" w:after="156" w:afterLines="50" w:line="360" w:lineRule="auto"/>
        <w:jc w:val="left"/>
        <w:rPr>
          <w:rFonts w:ascii="宋体" w:hAnsi="宋体" w:cs="微软雅黑"/>
          <w:color w:val="auto"/>
          <w:kern w:val="0"/>
          <w:szCs w:val="21"/>
          <w:highlight w:val="none"/>
        </w:rPr>
      </w:pPr>
      <w:r>
        <w:rPr>
          <w:rFonts w:hint="eastAsia" w:ascii="宋体" w:hAnsi="宋体" w:cs="微软雅黑"/>
          <w:color w:val="auto"/>
          <w:spacing w:val="-1"/>
          <w:kern w:val="0"/>
          <w:szCs w:val="21"/>
          <w:highlight w:val="none"/>
        </w:rPr>
        <w:t>4.8</w:t>
      </w:r>
      <w:r>
        <w:rPr>
          <w:rFonts w:hint="eastAsia" w:ascii="宋体" w:hAnsi="宋体" w:cs="微软雅黑"/>
          <w:color w:val="auto"/>
          <w:spacing w:val="1"/>
          <w:kern w:val="0"/>
          <w:szCs w:val="21"/>
          <w:highlight w:val="none"/>
        </w:rPr>
        <w:t>有源滤波模块</w:t>
      </w:r>
      <w:r>
        <w:rPr>
          <w:rFonts w:hint="eastAsia" w:ascii="宋体" w:hAnsi="宋体" w:cs="微软雅黑"/>
          <w:color w:val="auto"/>
          <w:spacing w:val="-1"/>
          <w:kern w:val="0"/>
          <w:szCs w:val="21"/>
          <w:highlight w:val="none"/>
        </w:rPr>
        <w:t>能够自动根据电网运行方式的变化和负载的波动调整输出，以抵消电网中的谐波；</w:t>
      </w:r>
    </w:p>
    <w:p>
      <w:pPr>
        <w:spacing w:before="156" w:beforeLines="50" w:after="156" w:afterLines="50" w:line="360" w:lineRule="auto"/>
        <w:ind w:right="217"/>
        <w:rPr>
          <w:rFonts w:ascii="宋体" w:hAnsi="宋体" w:cs="微软雅黑"/>
          <w:color w:val="auto"/>
          <w:kern w:val="0"/>
          <w:szCs w:val="21"/>
          <w:highlight w:val="none"/>
        </w:rPr>
      </w:pPr>
      <w:r>
        <w:rPr>
          <w:rFonts w:hint="eastAsia" w:ascii="宋体" w:hAnsi="宋体" w:cs="微软雅黑"/>
          <w:color w:val="auto"/>
          <w:spacing w:val="-3"/>
          <w:kern w:val="0"/>
          <w:szCs w:val="21"/>
          <w:highlight w:val="none"/>
        </w:rPr>
        <w:t>4.9</w:t>
      </w:r>
      <w:r>
        <w:rPr>
          <w:rFonts w:hint="eastAsia" w:ascii="宋体" w:hAnsi="宋体" w:cs="微软雅黑"/>
          <w:color w:val="auto"/>
          <w:spacing w:val="-3"/>
          <w:kern w:val="0"/>
          <w:szCs w:val="21"/>
          <w:highlight w:val="none"/>
        </w:rPr>
        <w:t>控制算法：同时支持快速傅里叶（FFT）和瞬时无功两种算法</w:t>
      </w:r>
      <w:r>
        <w:rPr>
          <w:rFonts w:hint="eastAsia" w:ascii="宋体" w:hAnsi="宋体" w:cs="微软雅黑"/>
          <w:color w:val="auto"/>
          <w:spacing w:val="-3"/>
          <w:kern w:val="0"/>
          <w:szCs w:val="21"/>
          <w:highlight w:val="none"/>
        </w:rPr>
        <w:t>；</w:t>
      </w:r>
    </w:p>
    <w:p>
      <w:pPr>
        <w:spacing w:before="156" w:beforeLines="50" w:after="156" w:afterLines="50" w:line="360" w:lineRule="auto"/>
        <w:jc w:val="left"/>
        <w:rPr>
          <w:rFonts w:ascii="宋体" w:hAnsi="宋体" w:cs="微软雅黑"/>
          <w:color w:val="auto"/>
          <w:kern w:val="0"/>
          <w:szCs w:val="21"/>
          <w:highlight w:val="none"/>
        </w:rPr>
      </w:pPr>
      <w:r>
        <w:rPr>
          <w:rFonts w:hint="eastAsia" w:ascii="宋体" w:hAnsi="宋体" w:cs="微软雅黑"/>
          <w:color w:val="auto"/>
          <w:spacing w:val="-1"/>
          <w:kern w:val="0"/>
          <w:szCs w:val="21"/>
          <w:highlight w:val="none"/>
        </w:rPr>
        <w:t>4.10滤波模块自身的高频载波不能回馈到电网，不能对电网系统和电网相关设备造成干扰；</w:t>
      </w:r>
    </w:p>
    <w:p>
      <w:pPr>
        <w:spacing w:before="156" w:beforeLines="50" w:after="156" w:afterLines="50" w:line="360" w:lineRule="auto"/>
        <w:ind w:right="219"/>
        <w:rPr>
          <w:rFonts w:ascii="宋体" w:hAnsi="宋体" w:cs="微软雅黑"/>
          <w:color w:val="auto"/>
          <w:kern w:val="0"/>
          <w:szCs w:val="21"/>
          <w:highlight w:val="none"/>
        </w:rPr>
      </w:pPr>
      <w:r>
        <w:rPr>
          <w:rFonts w:hint="eastAsia" w:ascii="宋体" w:hAnsi="宋体" w:cs="微软雅黑"/>
          <w:color w:val="auto"/>
          <w:spacing w:val="-1"/>
          <w:kern w:val="0"/>
          <w:szCs w:val="21"/>
          <w:highlight w:val="none"/>
        </w:rPr>
        <w:t>4.11应具备完整的保护装置，包括过载、过电流、短路、IGBT</w:t>
      </w:r>
      <w:r>
        <w:rPr>
          <w:rFonts w:hint="eastAsia" w:ascii="宋体" w:hAnsi="宋体" w:cs="微软雅黑"/>
          <w:color w:val="auto"/>
          <w:kern w:val="0"/>
          <w:szCs w:val="21"/>
          <w:highlight w:val="none"/>
        </w:rPr>
        <w:t>异常、系统失压、内置电容器过电压等功能</w:t>
      </w:r>
      <w:r>
        <w:rPr>
          <w:rFonts w:hint="eastAsia" w:ascii="宋体" w:hAnsi="宋体" w:cs="微软雅黑"/>
          <w:color w:val="auto"/>
          <w:spacing w:val="-24"/>
          <w:kern w:val="0"/>
          <w:szCs w:val="21"/>
          <w:highlight w:val="none"/>
        </w:rPr>
        <w:t>，</w:t>
      </w:r>
      <w:r>
        <w:rPr>
          <w:rFonts w:hint="eastAsia" w:ascii="宋体" w:hAnsi="宋体" w:cs="微软雅黑"/>
          <w:color w:val="auto"/>
          <w:kern w:val="0"/>
          <w:szCs w:val="21"/>
          <w:highlight w:val="none"/>
        </w:rPr>
        <w:t>且相关参数可调；此外</w:t>
      </w:r>
      <w:r>
        <w:rPr>
          <w:rFonts w:hint="eastAsia" w:ascii="宋体" w:hAnsi="宋体" w:cs="微软雅黑"/>
          <w:color w:val="auto"/>
          <w:spacing w:val="-24"/>
          <w:kern w:val="0"/>
          <w:szCs w:val="21"/>
          <w:highlight w:val="none"/>
        </w:rPr>
        <w:t>，</w:t>
      </w:r>
      <w:r>
        <w:rPr>
          <w:rFonts w:hint="eastAsia" w:ascii="宋体" w:hAnsi="宋体" w:cs="微软雅黑"/>
          <w:color w:val="auto"/>
          <w:spacing w:val="1"/>
          <w:kern w:val="0"/>
          <w:szCs w:val="21"/>
          <w:highlight w:val="none"/>
        </w:rPr>
        <w:t>还</w:t>
      </w:r>
      <w:r>
        <w:rPr>
          <w:rFonts w:hint="eastAsia" w:ascii="宋体" w:hAnsi="宋体" w:cs="微软雅黑"/>
          <w:color w:val="auto"/>
          <w:kern w:val="0"/>
          <w:szCs w:val="21"/>
          <w:highlight w:val="none"/>
        </w:rPr>
        <w:t>应具备系统自诊断功能。故障出现后机器会 自动报警且停止工作不会影响其他设备正常运行；</w:t>
      </w:r>
    </w:p>
    <w:p>
      <w:pPr>
        <w:spacing w:before="156" w:beforeLines="50" w:after="156" w:afterLines="50" w:line="360" w:lineRule="auto"/>
        <w:jc w:val="left"/>
        <w:rPr>
          <w:rFonts w:ascii="宋体" w:hAnsi="宋体" w:cs="微软雅黑"/>
          <w:color w:val="auto"/>
          <w:kern w:val="0"/>
          <w:szCs w:val="21"/>
          <w:highlight w:val="none"/>
        </w:rPr>
      </w:pPr>
      <w:r>
        <w:rPr>
          <w:rFonts w:hint="eastAsia" w:ascii="宋体" w:hAnsi="宋体" w:cs="微软雅黑"/>
          <w:color w:val="auto"/>
          <w:spacing w:val="-1"/>
          <w:kern w:val="0"/>
          <w:szCs w:val="21"/>
          <w:highlight w:val="none"/>
        </w:rPr>
        <w:t>4.12当系统断电时，滤波模块应自动断开；在系统恢复后，滤波器能自动恢复并正常工作；</w:t>
      </w:r>
    </w:p>
    <w:p>
      <w:pPr>
        <w:spacing w:before="156" w:beforeLines="50" w:after="156" w:afterLines="50" w:line="360" w:lineRule="auto"/>
        <w:ind w:right="217"/>
        <w:rPr>
          <w:rFonts w:ascii="宋体" w:hAnsi="宋体" w:cs="微软雅黑"/>
          <w:color w:val="auto"/>
          <w:kern w:val="0"/>
          <w:szCs w:val="21"/>
          <w:highlight w:val="none"/>
        </w:rPr>
      </w:pPr>
      <w:r>
        <w:rPr>
          <w:rFonts w:hint="eastAsia" w:ascii="宋体" w:hAnsi="宋体" w:cs="微软雅黑"/>
          <w:color w:val="auto"/>
          <w:spacing w:val="-1"/>
          <w:kern w:val="0"/>
          <w:szCs w:val="21"/>
          <w:highlight w:val="none"/>
        </w:rPr>
        <w:t>4.13有源滤波器装置内部应具备自动限流功能，保证滤波器自动限制在</w:t>
      </w:r>
      <w:r>
        <w:rPr>
          <w:rFonts w:hint="eastAsia" w:ascii="宋体" w:hAnsi="宋体" w:cs="微软雅黑"/>
          <w:color w:val="auto"/>
          <w:kern w:val="0"/>
          <w:szCs w:val="21"/>
          <w:highlight w:val="none"/>
        </w:rPr>
        <w:t xml:space="preserve"> 100%额定容量输出，而不会发生滤波器过载运行；</w:t>
      </w:r>
    </w:p>
    <w:p>
      <w:pPr>
        <w:spacing w:before="156" w:beforeLines="50" w:after="156" w:afterLines="50" w:line="360" w:lineRule="auto"/>
        <w:jc w:val="left"/>
        <w:rPr>
          <w:rFonts w:ascii="宋体" w:hAnsi="宋体" w:cs="微软雅黑"/>
          <w:color w:val="auto"/>
          <w:kern w:val="0"/>
          <w:szCs w:val="21"/>
          <w:highlight w:val="none"/>
        </w:rPr>
      </w:pPr>
      <w:r>
        <w:rPr>
          <w:rFonts w:hint="eastAsia" w:ascii="宋体" w:hAnsi="宋体" w:cs="微软雅黑"/>
          <w:color w:val="auto"/>
          <w:spacing w:val="-1"/>
          <w:kern w:val="0"/>
          <w:szCs w:val="21"/>
          <w:highlight w:val="none"/>
        </w:rPr>
        <w:t>4.14</w:t>
      </w:r>
      <w:r>
        <w:rPr>
          <w:rFonts w:hint="eastAsia" w:ascii="宋体" w:hAnsi="宋体" w:cs="微软雅黑"/>
          <w:color w:val="auto"/>
          <w:kern w:val="0"/>
          <w:szCs w:val="21"/>
          <w:highlight w:val="none"/>
        </w:rPr>
        <w:t>有源滤波器采用模块化设计，单面有源滤波柜可以根据现场谐波情况进行增容滤波模块；</w:t>
      </w:r>
      <w:r>
        <w:rPr>
          <w:rFonts w:hint="eastAsia" w:ascii="宋体" w:hAnsi="宋体" w:cs="微软雅黑"/>
          <w:color w:val="auto"/>
          <w:spacing w:val="-1"/>
          <w:kern w:val="0"/>
          <w:szCs w:val="21"/>
          <w:highlight w:val="none"/>
        </w:rPr>
        <w:t>扩容方便，支持多机并联扩容，并联容量不受限制。可通过增加机柜</w:t>
      </w:r>
      <w:r>
        <w:rPr>
          <w:rFonts w:hint="eastAsia" w:ascii="宋体" w:hAnsi="宋体" w:cs="微软雅黑"/>
          <w:color w:val="auto"/>
          <w:kern w:val="0"/>
          <w:szCs w:val="21"/>
          <w:highlight w:val="none"/>
        </w:rPr>
        <w:t>内所装的模块数量进行扩容，而不用安装新的</w:t>
      </w:r>
      <w:r>
        <w:rPr>
          <w:rFonts w:hint="eastAsia" w:ascii="宋体" w:hAnsi="宋体" w:cs="微软雅黑"/>
          <w:color w:val="auto"/>
          <w:spacing w:val="-25"/>
          <w:kern w:val="0"/>
          <w:szCs w:val="21"/>
          <w:highlight w:val="none"/>
        </w:rPr>
        <w:t xml:space="preserve"> </w:t>
      </w:r>
      <w:r>
        <w:rPr>
          <w:rFonts w:hint="eastAsia" w:ascii="宋体" w:hAnsi="宋体" w:cs="微软雅黑"/>
          <w:color w:val="auto"/>
          <w:kern w:val="0"/>
          <w:szCs w:val="21"/>
          <w:highlight w:val="none"/>
        </w:rPr>
        <w:t>CT；</w:t>
      </w:r>
    </w:p>
    <w:p>
      <w:pPr>
        <w:spacing w:before="156" w:beforeLines="50" w:after="156" w:afterLines="50" w:line="360" w:lineRule="auto"/>
        <w:ind w:right="216"/>
        <w:rPr>
          <w:rFonts w:ascii="宋体" w:hAnsi="宋体" w:cs="微软雅黑"/>
          <w:color w:val="auto"/>
          <w:spacing w:val="-1"/>
          <w:kern w:val="0"/>
          <w:szCs w:val="21"/>
          <w:highlight w:val="none"/>
        </w:rPr>
      </w:pPr>
      <w:r>
        <w:rPr>
          <w:rFonts w:hint="eastAsia" w:ascii="宋体" w:hAnsi="宋体" w:cs="微软雅黑"/>
          <w:color w:val="auto"/>
          <w:spacing w:val="-1"/>
          <w:kern w:val="0"/>
          <w:szCs w:val="21"/>
          <w:highlight w:val="none"/>
        </w:rPr>
        <w:t>4.15有源滤波器应具备快速、完全的故障自检功能，包括欠压、过压、过流、风扇故障、 功率器件过温、接触器等各种故障自检，所有故障均通过 LCD 显示屏及 LED 运行状态灯显示，并发出告警信号，同时自动采取相对应的操作；</w:t>
      </w:r>
    </w:p>
    <w:p>
      <w:pPr>
        <w:spacing w:before="156" w:beforeLines="50" w:after="156" w:afterLines="50" w:line="360" w:lineRule="auto"/>
        <w:ind w:right="216"/>
        <w:rPr>
          <w:rFonts w:ascii="宋体" w:hAnsi="宋体" w:cs="微软雅黑"/>
          <w:color w:val="auto"/>
          <w:spacing w:val="-1"/>
          <w:kern w:val="0"/>
          <w:szCs w:val="21"/>
          <w:highlight w:val="none"/>
        </w:rPr>
      </w:pPr>
      <w:r>
        <w:rPr>
          <w:rFonts w:hint="eastAsia" w:ascii="宋体" w:hAnsi="宋体" w:cs="微软雅黑"/>
          <w:color w:val="auto"/>
          <w:spacing w:val="-1"/>
          <w:kern w:val="0"/>
          <w:szCs w:val="21"/>
          <w:highlight w:val="none"/>
        </w:rPr>
        <w:t>4.16有源滤波模块可实时显示电网电压、电流及柱状图、电网谐波含有率，负载电流及柱状图、负载谐波含有率、设备输出电流、母线电压、系统温度、开关状态等电参数；</w:t>
      </w:r>
    </w:p>
    <w:p>
      <w:pPr>
        <w:spacing w:before="156" w:beforeLines="50" w:after="156" w:afterLines="50" w:line="360" w:lineRule="auto"/>
        <w:ind w:right="216"/>
        <w:rPr>
          <w:rFonts w:ascii="宋体" w:hAnsi="宋体" w:cs="微软雅黑"/>
          <w:color w:val="auto"/>
          <w:spacing w:val="-1"/>
          <w:kern w:val="0"/>
          <w:szCs w:val="21"/>
          <w:highlight w:val="none"/>
        </w:rPr>
      </w:pPr>
      <w:r>
        <w:rPr>
          <w:rFonts w:hint="eastAsia" w:ascii="宋体" w:hAnsi="宋体" w:cs="微软雅黑"/>
          <w:color w:val="auto"/>
          <w:spacing w:val="-1"/>
          <w:kern w:val="0"/>
          <w:szCs w:val="21"/>
          <w:highlight w:val="none"/>
        </w:rPr>
        <w:t>4.17有源滤波模块的过压、欠压，过频点、欠频点、CT变比、并机容量、启动模式、输出谐波次数等电参数或阈值可设置。</w:t>
      </w:r>
    </w:p>
    <w:p>
      <w:pPr>
        <w:numPr>
          <w:ilvl w:val="0"/>
          <w:numId w:val="30"/>
        </w:numPr>
        <w:spacing w:before="58"/>
        <w:outlineLvl w:val="2"/>
        <w:rPr>
          <w:rFonts w:ascii="宋体" w:hAnsi="宋体" w:cs="等线 Light"/>
          <w:b/>
          <w:bCs/>
          <w:color w:val="auto"/>
          <w:kern w:val="0"/>
          <w:szCs w:val="21"/>
          <w:highlight w:val="none"/>
        </w:rPr>
      </w:pPr>
      <w:r>
        <w:rPr>
          <w:rFonts w:hint="eastAsia" w:ascii="宋体" w:hAnsi="宋体" w:cs="等线 Light"/>
          <w:b/>
          <w:bCs/>
          <w:color w:val="auto"/>
          <w:kern w:val="0"/>
          <w:szCs w:val="21"/>
          <w:highlight w:val="none"/>
        </w:rPr>
        <w:t>资料提供</w:t>
      </w:r>
    </w:p>
    <w:p>
      <w:pPr>
        <w:spacing w:before="156" w:beforeLines="50" w:after="156" w:afterLines="50" w:line="360" w:lineRule="auto"/>
        <w:ind w:right="216"/>
        <w:rPr>
          <w:rFonts w:ascii="宋体" w:hAnsi="宋体" w:cs="微软雅黑"/>
          <w:color w:val="auto"/>
          <w:spacing w:val="-1"/>
          <w:kern w:val="0"/>
          <w:szCs w:val="21"/>
          <w:highlight w:val="none"/>
        </w:rPr>
      </w:pPr>
      <w:r>
        <w:rPr>
          <w:rFonts w:ascii="宋体" w:hAnsi="宋体" w:cs="微软雅黑"/>
          <w:color w:val="auto"/>
          <w:spacing w:val="-1"/>
          <w:kern w:val="0"/>
          <w:szCs w:val="21"/>
          <w:highlight w:val="none"/>
        </w:rPr>
        <w:t>5.</w:t>
      </w:r>
      <w:r>
        <w:rPr>
          <w:rFonts w:hint="eastAsia" w:ascii="宋体" w:hAnsi="宋体" w:cs="微软雅黑"/>
          <w:color w:val="auto"/>
          <w:spacing w:val="-1"/>
          <w:kern w:val="0"/>
          <w:szCs w:val="21"/>
          <w:highlight w:val="none"/>
        </w:rPr>
        <w:t>1提供关键元器件清单及供应商质保书和供应能力承诺；</w:t>
      </w:r>
    </w:p>
    <w:p>
      <w:pPr>
        <w:spacing w:before="156" w:beforeLines="50" w:after="156" w:afterLines="50" w:line="360" w:lineRule="auto"/>
        <w:ind w:right="216"/>
        <w:rPr>
          <w:rFonts w:ascii="宋体" w:hAnsi="宋体" w:cs="微软雅黑"/>
          <w:color w:val="auto"/>
          <w:spacing w:val="-1"/>
          <w:kern w:val="0"/>
          <w:szCs w:val="21"/>
          <w:highlight w:val="none"/>
        </w:rPr>
      </w:pPr>
      <w:r>
        <w:rPr>
          <w:rFonts w:hint="eastAsia" w:ascii="宋体" w:hAnsi="宋体" w:cs="微软雅黑"/>
          <w:color w:val="auto"/>
          <w:spacing w:val="-1"/>
          <w:kern w:val="0"/>
          <w:szCs w:val="21"/>
          <w:highlight w:val="none"/>
        </w:rPr>
        <w:t>5.</w:t>
      </w:r>
      <w:r>
        <w:rPr>
          <w:rFonts w:ascii="宋体" w:hAnsi="宋体" w:cs="微软雅黑"/>
          <w:color w:val="auto"/>
          <w:spacing w:val="-1"/>
          <w:kern w:val="0"/>
          <w:szCs w:val="21"/>
          <w:highlight w:val="none"/>
        </w:rPr>
        <w:t>2</w:t>
      </w:r>
      <w:r>
        <w:rPr>
          <w:rFonts w:hint="eastAsia" w:ascii="宋体" w:hAnsi="宋体" w:cs="微软雅黑"/>
          <w:color w:val="auto"/>
          <w:spacing w:val="-1"/>
          <w:kern w:val="0"/>
          <w:szCs w:val="21"/>
          <w:highlight w:val="none"/>
        </w:rPr>
        <w:t>提供国家权威部门出具的</w:t>
      </w:r>
      <w:r>
        <w:rPr>
          <w:rFonts w:hint="eastAsia" w:ascii="宋体" w:hAnsi="宋体" w:cs="微软雅黑"/>
          <w:color w:val="auto"/>
          <w:spacing w:val="-1"/>
          <w:kern w:val="0"/>
          <w:szCs w:val="21"/>
          <w:highlight w:val="none"/>
        </w:rPr>
        <w:t>成套设备</w:t>
      </w:r>
      <w:r>
        <w:rPr>
          <w:rFonts w:hint="eastAsia" w:ascii="宋体" w:hAnsi="宋体" w:cs="微软雅黑"/>
          <w:color w:val="auto"/>
          <w:spacing w:val="-1"/>
          <w:kern w:val="0"/>
          <w:szCs w:val="21"/>
          <w:highlight w:val="none"/>
        </w:rPr>
        <w:t>检验报告及CQC认证证书；</w:t>
      </w:r>
    </w:p>
    <w:p>
      <w:pPr>
        <w:spacing w:before="156" w:beforeLines="50" w:after="156" w:afterLines="50" w:line="360" w:lineRule="auto"/>
        <w:ind w:right="216"/>
        <w:rPr>
          <w:rFonts w:ascii="宋体" w:hAnsi="宋体" w:cs="微软雅黑"/>
          <w:color w:val="auto"/>
          <w:spacing w:val="-1"/>
          <w:kern w:val="0"/>
          <w:szCs w:val="21"/>
          <w:highlight w:val="none"/>
        </w:rPr>
      </w:pPr>
      <w:r>
        <w:rPr>
          <w:rFonts w:ascii="宋体" w:hAnsi="宋体" w:cs="微软雅黑"/>
          <w:color w:val="auto"/>
          <w:spacing w:val="-1"/>
          <w:kern w:val="0"/>
          <w:szCs w:val="21"/>
          <w:highlight w:val="none"/>
        </w:rPr>
        <w:t>5.</w:t>
      </w:r>
      <w:r>
        <w:rPr>
          <w:rFonts w:hint="eastAsia" w:ascii="宋体" w:hAnsi="宋体" w:cs="微软雅黑"/>
          <w:color w:val="auto"/>
          <w:spacing w:val="-1"/>
          <w:kern w:val="0"/>
          <w:szCs w:val="21"/>
          <w:highlight w:val="none"/>
        </w:rPr>
        <w:t>3提供关全部技术文件，包括技术说明书和操作说明书、与装置相符合的原理图、安装图（其中图纸包括CAD文件）</w:t>
      </w:r>
    </w:p>
    <w:p>
      <w:pPr>
        <w:spacing w:before="156" w:beforeLines="50" w:after="156" w:afterLines="50" w:line="360" w:lineRule="auto"/>
        <w:ind w:right="216"/>
        <w:rPr>
          <w:rFonts w:ascii="宋体" w:hAnsi="宋体" w:cs="微软雅黑"/>
          <w:color w:val="auto"/>
          <w:spacing w:val="-1"/>
          <w:kern w:val="0"/>
          <w:szCs w:val="21"/>
          <w:highlight w:val="none"/>
        </w:rPr>
      </w:pPr>
      <w:r>
        <w:rPr>
          <w:rFonts w:hint="eastAsia" w:ascii="宋体" w:hAnsi="宋体" w:cs="微软雅黑"/>
          <w:color w:val="auto"/>
          <w:spacing w:val="-1"/>
          <w:kern w:val="0"/>
          <w:szCs w:val="21"/>
          <w:highlight w:val="none"/>
        </w:rPr>
        <w:t>5.</w:t>
      </w:r>
      <w:r>
        <w:rPr>
          <w:rFonts w:ascii="宋体" w:hAnsi="宋体" w:cs="微软雅黑"/>
          <w:color w:val="auto"/>
          <w:spacing w:val="-1"/>
          <w:kern w:val="0"/>
          <w:szCs w:val="21"/>
          <w:highlight w:val="none"/>
        </w:rPr>
        <w:t>4</w:t>
      </w:r>
      <w:r>
        <w:rPr>
          <w:rFonts w:hint="eastAsia" w:ascii="宋体" w:hAnsi="宋体" w:cs="微软雅黑"/>
          <w:color w:val="auto"/>
          <w:spacing w:val="-1"/>
          <w:kern w:val="0"/>
          <w:szCs w:val="21"/>
          <w:highlight w:val="none"/>
        </w:rPr>
        <w:t>应提供设备的出厂试验报告；</w:t>
      </w:r>
    </w:p>
    <w:p>
      <w:pPr>
        <w:spacing w:before="156" w:beforeLines="50" w:after="156" w:afterLines="50" w:line="360" w:lineRule="auto"/>
        <w:ind w:right="216"/>
        <w:rPr>
          <w:rFonts w:ascii="宋体" w:hAnsi="宋体" w:cs="微软雅黑"/>
          <w:color w:val="auto"/>
          <w:spacing w:val="-1"/>
          <w:kern w:val="0"/>
          <w:szCs w:val="21"/>
          <w:highlight w:val="none"/>
        </w:rPr>
      </w:pPr>
      <w:r>
        <w:rPr>
          <w:rFonts w:ascii="宋体" w:hAnsi="宋体" w:cs="微软雅黑"/>
          <w:color w:val="auto"/>
          <w:spacing w:val="-1"/>
          <w:kern w:val="0"/>
          <w:szCs w:val="21"/>
          <w:highlight w:val="none"/>
        </w:rPr>
        <w:t>5.5</w:t>
      </w:r>
      <w:r>
        <w:rPr>
          <w:rFonts w:hint="eastAsia" w:ascii="宋体" w:hAnsi="宋体" w:cs="微软雅黑"/>
          <w:color w:val="auto"/>
          <w:spacing w:val="-1"/>
          <w:kern w:val="0"/>
          <w:szCs w:val="21"/>
          <w:highlight w:val="none"/>
        </w:rPr>
        <w:t>应提供一张包括全部文件在内的文件清单，所有文件应有简洁完整的编号，图纸应符合标准规格；</w:t>
      </w:r>
    </w:p>
    <w:p>
      <w:pPr>
        <w:spacing w:before="156" w:beforeLines="50" w:after="156" w:afterLines="50" w:line="360" w:lineRule="auto"/>
        <w:ind w:right="216"/>
        <w:rPr>
          <w:rFonts w:ascii="宋体" w:hAnsi="宋体" w:cs="微软雅黑"/>
          <w:color w:val="auto"/>
          <w:spacing w:val="-1"/>
          <w:kern w:val="0"/>
          <w:szCs w:val="21"/>
          <w:highlight w:val="none"/>
        </w:rPr>
      </w:pPr>
      <w:r>
        <w:rPr>
          <w:rFonts w:hint="eastAsia" w:ascii="宋体" w:hAnsi="宋体" w:cs="微软雅黑"/>
          <w:color w:val="auto"/>
          <w:spacing w:val="-1"/>
          <w:kern w:val="0"/>
          <w:szCs w:val="21"/>
          <w:highlight w:val="none"/>
        </w:rPr>
        <w:t>5.</w:t>
      </w:r>
      <w:r>
        <w:rPr>
          <w:rFonts w:ascii="宋体" w:hAnsi="宋体" w:cs="微软雅黑"/>
          <w:color w:val="auto"/>
          <w:spacing w:val="-1"/>
          <w:kern w:val="0"/>
          <w:szCs w:val="21"/>
          <w:highlight w:val="none"/>
        </w:rPr>
        <w:t>2</w:t>
      </w:r>
      <w:r>
        <w:rPr>
          <w:rFonts w:hint="eastAsia" w:ascii="宋体" w:hAnsi="宋体" w:cs="微软雅黑"/>
          <w:color w:val="auto"/>
          <w:spacing w:val="-1"/>
          <w:kern w:val="0"/>
          <w:szCs w:val="21"/>
          <w:highlight w:val="none"/>
        </w:rPr>
        <w:t>有源滤波柜供货商应根据低压开关柜生产商提供的柜壳色标和预留的对接接口进行配合设计，确保有源滤波柜与低压开关柜能够完好拼接。</w:t>
      </w:r>
    </w:p>
    <w:p>
      <w:pPr>
        <w:numPr>
          <w:ilvl w:val="0"/>
          <w:numId w:val="30"/>
        </w:numPr>
        <w:spacing w:before="58"/>
        <w:outlineLvl w:val="2"/>
        <w:rPr>
          <w:rFonts w:ascii="宋体" w:hAnsi="宋体" w:cs="等线 Light"/>
          <w:b/>
          <w:bCs/>
          <w:color w:val="auto"/>
          <w:kern w:val="0"/>
          <w:szCs w:val="21"/>
          <w:highlight w:val="none"/>
        </w:rPr>
      </w:pPr>
      <w:r>
        <w:rPr>
          <w:rFonts w:ascii="宋体" w:hAnsi="宋体" w:cs="等线 Light"/>
          <w:b/>
          <w:bCs/>
          <w:color w:val="auto"/>
          <w:kern w:val="0"/>
          <w:szCs w:val="21"/>
          <w:highlight w:val="none"/>
        </w:rPr>
        <w:t>包装、运输</w:t>
      </w:r>
      <w:r>
        <w:rPr>
          <w:rFonts w:hint="eastAsia" w:ascii="宋体" w:hAnsi="宋体" w:cs="等线 Light"/>
          <w:b/>
          <w:bCs/>
          <w:color w:val="auto"/>
          <w:kern w:val="0"/>
          <w:szCs w:val="21"/>
          <w:highlight w:val="none"/>
        </w:rPr>
        <w:t>、贮存及安装</w:t>
      </w:r>
    </w:p>
    <w:p>
      <w:pPr>
        <w:spacing w:before="156" w:beforeLines="50" w:after="156" w:afterLines="50" w:line="360" w:lineRule="auto"/>
        <w:ind w:right="216"/>
        <w:rPr>
          <w:rFonts w:ascii="宋体" w:hAnsi="宋体" w:cs="微软雅黑"/>
          <w:color w:val="auto"/>
          <w:spacing w:val="-1"/>
          <w:kern w:val="0"/>
          <w:szCs w:val="21"/>
          <w:highlight w:val="none"/>
        </w:rPr>
      </w:pPr>
      <w:r>
        <w:rPr>
          <w:rFonts w:hint="eastAsia" w:ascii="宋体" w:hAnsi="宋体" w:cs="微软雅黑"/>
          <w:color w:val="auto"/>
          <w:spacing w:val="-1"/>
          <w:kern w:val="0"/>
          <w:szCs w:val="21"/>
          <w:highlight w:val="none"/>
        </w:rPr>
        <w:t>6.</w:t>
      </w:r>
      <w:r>
        <w:rPr>
          <w:rFonts w:ascii="宋体" w:hAnsi="宋体" w:cs="微软雅黑"/>
          <w:color w:val="auto"/>
          <w:spacing w:val="-1"/>
          <w:kern w:val="0"/>
          <w:szCs w:val="21"/>
          <w:highlight w:val="none"/>
        </w:rPr>
        <w:t>1设备制造完成并通过试验后，将及时包装，确保不受污损；</w:t>
      </w:r>
    </w:p>
    <w:p>
      <w:pPr>
        <w:spacing w:before="156" w:beforeLines="50" w:after="156" w:afterLines="50" w:line="360" w:lineRule="auto"/>
        <w:ind w:right="216"/>
        <w:rPr>
          <w:rFonts w:ascii="宋体" w:hAnsi="宋体" w:cs="微软雅黑"/>
          <w:color w:val="auto"/>
          <w:spacing w:val="-1"/>
          <w:kern w:val="0"/>
          <w:szCs w:val="21"/>
          <w:highlight w:val="none"/>
        </w:rPr>
      </w:pPr>
      <w:r>
        <w:rPr>
          <w:rFonts w:hint="eastAsia" w:ascii="宋体" w:hAnsi="宋体" w:cs="微软雅黑"/>
          <w:color w:val="auto"/>
          <w:spacing w:val="-1"/>
          <w:kern w:val="0"/>
          <w:szCs w:val="21"/>
          <w:highlight w:val="none"/>
        </w:rPr>
        <w:t>6</w:t>
      </w:r>
      <w:r>
        <w:rPr>
          <w:rFonts w:ascii="宋体" w:hAnsi="宋体" w:cs="微软雅黑"/>
          <w:color w:val="auto"/>
          <w:spacing w:val="-1"/>
          <w:kern w:val="0"/>
          <w:szCs w:val="21"/>
          <w:highlight w:val="none"/>
        </w:rPr>
        <w:t>.2所有部件经妥善包装或装箱后，在运输过程中采取其它各种防护措施，以免散失坏或被盗；</w:t>
      </w:r>
    </w:p>
    <w:p>
      <w:pPr>
        <w:spacing w:before="156" w:beforeLines="50" w:after="156" w:afterLines="50" w:line="360" w:lineRule="auto"/>
        <w:ind w:right="216"/>
        <w:rPr>
          <w:rFonts w:ascii="宋体" w:hAnsi="宋体" w:cs="微软雅黑"/>
          <w:color w:val="auto"/>
          <w:spacing w:val="-1"/>
          <w:kern w:val="0"/>
          <w:szCs w:val="21"/>
          <w:highlight w:val="none"/>
        </w:rPr>
      </w:pPr>
      <w:r>
        <w:rPr>
          <w:rFonts w:hint="eastAsia" w:ascii="宋体" w:hAnsi="宋体" w:cs="微软雅黑"/>
          <w:color w:val="auto"/>
          <w:spacing w:val="-1"/>
          <w:kern w:val="0"/>
          <w:szCs w:val="21"/>
          <w:highlight w:val="none"/>
        </w:rPr>
        <w:t>6</w:t>
      </w:r>
      <w:r>
        <w:rPr>
          <w:rFonts w:ascii="宋体" w:hAnsi="宋体" w:cs="微软雅黑"/>
          <w:color w:val="auto"/>
          <w:spacing w:val="-1"/>
          <w:kern w:val="0"/>
          <w:szCs w:val="21"/>
          <w:highlight w:val="none"/>
        </w:rPr>
        <w:t>.3在包装箱外明显位置标明订货号、发货号；</w:t>
      </w:r>
    </w:p>
    <w:p>
      <w:pPr>
        <w:spacing w:before="156" w:beforeLines="50" w:after="156" w:afterLines="50" w:line="360" w:lineRule="auto"/>
        <w:ind w:right="216"/>
        <w:rPr>
          <w:rFonts w:ascii="宋体" w:hAnsi="宋体" w:cs="微软雅黑"/>
          <w:color w:val="auto"/>
          <w:spacing w:val="-1"/>
          <w:kern w:val="0"/>
          <w:szCs w:val="21"/>
          <w:highlight w:val="none"/>
        </w:rPr>
      </w:pPr>
      <w:r>
        <w:rPr>
          <w:rFonts w:hint="eastAsia" w:ascii="宋体" w:hAnsi="宋体" w:cs="微软雅黑"/>
          <w:color w:val="auto"/>
          <w:spacing w:val="-1"/>
          <w:kern w:val="0"/>
          <w:szCs w:val="21"/>
          <w:highlight w:val="none"/>
        </w:rPr>
        <w:t>6</w:t>
      </w:r>
      <w:r>
        <w:rPr>
          <w:rFonts w:ascii="宋体" w:hAnsi="宋体" w:cs="微软雅黑"/>
          <w:color w:val="auto"/>
          <w:spacing w:val="-1"/>
          <w:kern w:val="0"/>
          <w:szCs w:val="21"/>
          <w:highlight w:val="none"/>
        </w:rPr>
        <w:t>.4各种包装能确保各零部件在运输过程中不致遭到损坏、丢失、变性、受潮、腐蚀；</w:t>
      </w:r>
    </w:p>
    <w:p>
      <w:pPr>
        <w:spacing w:before="156" w:beforeLines="50" w:after="156" w:afterLines="50" w:line="360" w:lineRule="auto"/>
        <w:ind w:right="216"/>
        <w:rPr>
          <w:rFonts w:ascii="宋体" w:hAnsi="宋体" w:cs="微软雅黑"/>
          <w:color w:val="auto"/>
          <w:spacing w:val="-1"/>
          <w:kern w:val="0"/>
          <w:szCs w:val="21"/>
          <w:highlight w:val="none"/>
        </w:rPr>
      </w:pPr>
      <w:r>
        <w:rPr>
          <w:rFonts w:hint="eastAsia" w:ascii="宋体" w:hAnsi="宋体" w:cs="微软雅黑"/>
          <w:color w:val="auto"/>
          <w:spacing w:val="-1"/>
          <w:kern w:val="0"/>
          <w:szCs w:val="21"/>
          <w:highlight w:val="none"/>
        </w:rPr>
        <w:t>6</w:t>
      </w:r>
      <w:r>
        <w:rPr>
          <w:rFonts w:ascii="宋体" w:hAnsi="宋体" w:cs="微软雅黑"/>
          <w:color w:val="auto"/>
          <w:spacing w:val="-1"/>
          <w:kern w:val="0"/>
          <w:szCs w:val="21"/>
          <w:highlight w:val="none"/>
        </w:rPr>
        <w:t>.5包装箱上有明显的包装储运图示标志</w:t>
      </w:r>
      <w:r>
        <w:rPr>
          <w:rFonts w:hint="eastAsia" w:ascii="宋体" w:hAnsi="宋体" w:cs="微软雅黑"/>
          <w:color w:val="auto"/>
          <w:spacing w:val="-1"/>
          <w:kern w:val="0"/>
          <w:szCs w:val="21"/>
          <w:highlight w:val="none"/>
        </w:rPr>
        <w:t>(按GB191)</w:t>
      </w:r>
      <w:r>
        <w:rPr>
          <w:rFonts w:ascii="宋体" w:hAnsi="宋体" w:cs="微软雅黑"/>
          <w:color w:val="auto"/>
          <w:spacing w:val="-1"/>
          <w:kern w:val="0"/>
          <w:szCs w:val="21"/>
          <w:highlight w:val="none"/>
        </w:rPr>
        <w:t>;</w:t>
      </w:r>
    </w:p>
    <w:p>
      <w:pPr>
        <w:spacing w:before="156" w:beforeLines="50" w:after="156" w:afterLines="50" w:line="360" w:lineRule="auto"/>
        <w:ind w:right="216"/>
        <w:rPr>
          <w:rFonts w:ascii="宋体" w:hAnsi="宋体" w:cs="微软雅黑"/>
          <w:color w:val="auto"/>
          <w:spacing w:val="-1"/>
          <w:kern w:val="0"/>
          <w:szCs w:val="21"/>
          <w:highlight w:val="none"/>
        </w:rPr>
      </w:pPr>
      <w:r>
        <w:rPr>
          <w:rFonts w:hint="eastAsia" w:ascii="宋体" w:hAnsi="宋体" w:cs="微软雅黑"/>
          <w:color w:val="auto"/>
          <w:spacing w:val="-1"/>
          <w:kern w:val="0"/>
          <w:szCs w:val="21"/>
          <w:highlight w:val="none"/>
        </w:rPr>
        <w:t>6</w:t>
      </w:r>
      <w:r>
        <w:rPr>
          <w:rFonts w:ascii="宋体" w:hAnsi="宋体" w:cs="微软雅黑"/>
          <w:color w:val="auto"/>
          <w:spacing w:val="-1"/>
          <w:kern w:val="0"/>
          <w:szCs w:val="21"/>
          <w:highlight w:val="none"/>
        </w:rPr>
        <w:t>.6随产品提供完整的技术资料；</w:t>
      </w: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r>
        <w:rPr>
          <w:rFonts w:hint="eastAsia" w:ascii="宋体" w:hAnsi="宋体"/>
          <w:b/>
          <w:snapToGrid w:val="0"/>
          <w:color w:val="auto"/>
          <w:spacing w:val="1"/>
          <w:w w:val="99"/>
          <w:kern w:val="0"/>
          <w:szCs w:val="21"/>
          <w:highlight w:val="none"/>
        </w:rPr>
        <w:t xml:space="preserve"> </w:t>
      </w: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jc w:val="center"/>
        <w:rPr>
          <w:b/>
          <w:color w:val="auto"/>
          <w:sz w:val="32"/>
          <w:highlight w:val="none"/>
        </w:rPr>
      </w:pPr>
    </w:p>
    <w:p>
      <w:pPr>
        <w:jc w:val="center"/>
        <w:rPr>
          <w:rFonts w:hint="eastAsia" w:ascii="宋体" w:hAnsi="宋体"/>
          <w:b/>
          <w:color w:val="auto"/>
          <w:szCs w:val="21"/>
          <w:highlight w:val="none"/>
        </w:rPr>
      </w:pPr>
      <w:r>
        <w:rPr>
          <w:rFonts w:hint="eastAsia" w:ascii="宋体" w:hAnsi="宋体"/>
          <w:b/>
          <w:color w:val="auto"/>
          <w:szCs w:val="21"/>
          <w:highlight w:val="none"/>
        </w:rPr>
        <w:t>SVG技术规范书</w:t>
      </w:r>
    </w:p>
    <w:p>
      <w:pPr>
        <w:pStyle w:val="2"/>
        <w:jc w:val="center"/>
        <w:rPr>
          <w:rFonts w:ascii="宋体" w:hAnsi="宋体" w:eastAsia="宋体"/>
          <w:color w:val="auto"/>
          <w:sz w:val="21"/>
          <w:szCs w:val="21"/>
          <w:highlight w:val="none"/>
        </w:rPr>
      </w:pPr>
      <w:r>
        <w:rPr>
          <w:rFonts w:hint="eastAsia" w:ascii="宋体" w:hAnsi="宋体" w:eastAsia="宋体"/>
          <w:color w:val="auto"/>
          <w:sz w:val="21"/>
          <w:szCs w:val="21"/>
          <w:highlight w:val="none"/>
        </w:rPr>
        <w:t>第</w:t>
      </w:r>
      <w:r>
        <w:rPr>
          <w:rFonts w:ascii="宋体" w:hAnsi="宋体" w:eastAsia="宋体"/>
          <w:color w:val="auto"/>
          <w:sz w:val="21"/>
          <w:szCs w:val="21"/>
          <w:highlight w:val="none"/>
        </w:rPr>
        <w:t>1</w:t>
      </w:r>
      <w:r>
        <w:rPr>
          <w:rFonts w:hint="eastAsia" w:ascii="宋体" w:hAnsi="宋体" w:eastAsia="宋体"/>
          <w:color w:val="auto"/>
          <w:sz w:val="21"/>
          <w:szCs w:val="21"/>
          <w:highlight w:val="none"/>
        </w:rPr>
        <w:t>部分：通用技术规范</w:t>
      </w:r>
    </w:p>
    <w:p>
      <w:pPr>
        <w:pStyle w:val="3"/>
        <w:rPr>
          <w:rFonts w:ascii="宋体" w:hAnsi="宋体"/>
          <w:color w:val="auto"/>
          <w:szCs w:val="21"/>
          <w:highlight w:val="none"/>
        </w:rPr>
      </w:pPr>
      <w:bookmarkStart w:id="135" w:name="_Toc357152500"/>
      <w:bookmarkStart w:id="136" w:name="_Toc463790490"/>
      <w:bookmarkStart w:id="137" w:name="_Toc429321057"/>
      <w:r>
        <w:rPr>
          <w:rFonts w:hint="eastAsia" w:ascii="宋体" w:hAnsi="宋体"/>
          <w:color w:val="auto"/>
          <w:szCs w:val="21"/>
          <w:highlight w:val="none"/>
        </w:rPr>
        <w:t>1　范围</w:t>
      </w:r>
      <w:bookmarkEnd w:id="135"/>
      <w:bookmarkEnd w:id="136"/>
      <w:bookmarkEnd w:id="137"/>
    </w:p>
    <w:p>
      <w:pPr>
        <w:pStyle w:val="37"/>
        <w:spacing w:line="360" w:lineRule="auto"/>
        <w:ind w:firstLine="420"/>
        <w:rPr>
          <w:rFonts w:hAnsi="宋体"/>
          <w:color w:val="auto"/>
          <w:sz w:val="21"/>
          <w:szCs w:val="21"/>
          <w:highlight w:val="none"/>
        </w:rPr>
      </w:pPr>
      <w:bookmarkStart w:id="138" w:name="_Toc357152501"/>
      <w:r>
        <w:rPr>
          <w:rFonts w:hAnsi="宋体"/>
          <w:color w:val="auto"/>
          <w:sz w:val="21"/>
          <w:szCs w:val="21"/>
          <w:highlight w:val="none"/>
        </w:rPr>
        <w:t>本</w:t>
      </w:r>
      <w:r>
        <w:rPr>
          <w:rFonts w:hint="eastAsia" w:hAnsi="宋体"/>
          <w:color w:val="auto"/>
          <w:sz w:val="21"/>
          <w:szCs w:val="21"/>
          <w:highlight w:val="none"/>
        </w:rPr>
        <w:t>规范</w:t>
      </w:r>
      <w:r>
        <w:rPr>
          <w:rFonts w:hAnsi="宋体"/>
          <w:color w:val="auto"/>
          <w:sz w:val="21"/>
          <w:szCs w:val="21"/>
          <w:highlight w:val="none"/>
        </w:rPr>
        <w:t>规定了</w:t>
      </w:r>
      <w:r>
        <w:rPr>
          <w:rFonts w:hint="eastAsia" w:hAnsi="宋体"/>
          <w:color w:val="auto"/>
          <w:sz w:val="21"/>
          <w:szCs w:val="21"/>
          <w:highlight w:val="none"/>
        </w:rPr>
        <w:t>静止无功发生器</w:t>
      </w:r>
      <w:r>
        <w:rPr>
          <w:rFonts w:hAnsi="宋体"/>
          <w:color w:val="auto"/>
          <w:sz w:val="21"/>
          <w:szCs w:val="21"/>
          <w:highlight w:val="none"/>
        </w:rPr>
        <w:t>的技术参数、试验项目、方法及要求。</w:t>
      </w:r>
    </w:p>
    <w:p>
      <w:pPr>
        <w:pStyle w:val="37"/>
        <w:spacing w:line="360" w:lineRule="auto"/>
        <w:ind w:firstLine="420"/>
        <w:rPr>
          <w:rFonts w:hint="eastAsia" w:hAnsi="宋体"/>
          <w:color w:val="auto"/>
          <w:sz w:val="21"/>
          <w:szCs w:val="21"/>
          <w:highlight w:val="none"/>
        </w:rPr>
      </w:pPr>
      <w:r>
        <w:rPr>
          <w:rFonts w:hAnsi="宋体"/>
          <w:color w:val="auto"/>
          <w:sz w:val="21"/>
          <w:szCs w:val="21"/>
          <w:highlight w:val="none"/>
        </w:rPr>
        <w:t>本</w:t>
      </w:r>
      <w:r>
        <w:rPr>
          <w:rFonts w:hint="eastAsia" w:hAnsi="宋体"/>
          <w:color w:val="auto"/>
          <w:sz w:val="21"/>
          <w:szCs w:val="21"/>
          <w:highlight w:val="none"/>
        </w:rPr>
        <w:t>规范</w:t>
      </w:r>
      <w:r>
        <w:rPr>
          <w:rFonts w:hAnsi="宋体"/>
          <w:color w:val="auto"/>
          <w:sz w:val="21"/>
          <w:szCs w:val="21"/>
          <w:highlight w:val="none"/>
        </w:rPr>
        <w:t>适用于额定频率为50Hz，电压等级为</w:t>
      </w:r>
      <w:r>
        <w:rPr>
          <w:rFonts w:hint="eastAsia" w:hAnsi="宋体"/>
          <w:color w:val="auto"/>
          <w:sz w:val="21"/>
          <w:szCs w:val="21"/>
          <w:highlight w:val="none"/>
        </w:rPr>
        <w:t>400V</w:t>
      </w:r>
      <w:r>
        <w:rPr>
          <w:rFonts w:hAnsi="宋体"/>
          <w:color w:val="auto"/>
          <w:sz w:val="21"/>
          <w:szCs w:val="21"/>
          <w:highlight w:val="none"/>
        </w:rPr>
        <w:t>，</w:t>
      </w:r>
      <w:r>
        <w:rPr>
          <w:rFonts w:hint="eastAsia" w:hAnsi="宋体"/>
          <w:color w:val="auto"/>
          <w:sz w:val="21"/>
          <w:szCs w:val="21"/>
          <w:highlight w:val="none"/>
        </w:rPr>
        <w:t>适用于配网配电变压器三相负荷不平衡自动调节及无功补偿，设备要求采用新型电力电子器件IGBT、FPGA等技术实现配网无功补偿，其主要功能包括：动态无功跟踪补偿，</w:t>
      </w:r>
      <w:r>
        <w:rPr>
          <w:rFonts w:hint="eastAsia" w:hAnsi="宋体"/>
          <w:color w:val="auto"/>
          <w:sz w:val="21"/>
          <w:szCs w:val="21"/>
          <w:highlight w:val="none"/>
        </w:rPr>
        <w:t>并按要求配置谐波抑制功能（见专用技术规范第3条招标产品需求说明）</w:t>
      </w:r>
      <w:r>
        <w:rPr>
          <w:rFonts w:hAnsi="宋体"/>
          <w:color w:val="auto"/>
          <w:sz w:val="21"/>
          <w:szCs w:val="21"/>
          <w:highlight w:val="none"/>
        </w:rPr>
        <w:t>。</w:t>
      </w:r>
      <w:r>
        <w:rPr>
          <w:rFonts w:hint="eastAsia" w:hAnsi="宋体"/>
          <w:color w:val="auto"/>
          <w:sz w:val="21"/>
          <w:szCs w:val="21"/>
          <w:highlight w:val="none"/>
        </w:rPr>
        <w:t>产品交付后如发现产品不满足本技术规范书，将予以无条件退货，由厂方承担所有损失。</w:t>
      </w:r>
    </w:p>
    <w:p>
      <w:pPr>
        <w:pStyle w:val="3"/>
        <w:rPr>
          <w:rFonts w:ascii="宋体" w:hAnsi="宋体"/>
          <w:color w:val="auto"/>
          <w:szCs w:val="21"/>
          <w:highlight w:val="none"/>
        </w:rPr>
      </w:pPr>
      <w:bookmarkStart w:id="139" w:name="_Toc463790491"/>
      <w:bookmarkStart w:id="140" w:name="_Toc429321058"/>
      <w:r>
        <w:rPr>
          <w:rFonts w:hint="eastAsia" w:ascii="宋体" w:hAnsi="宋体"/>
          <w:color w:val="auto"/>
          <w:szCs w:val="21"/>
          <w:highlight w:val="none"/>
        </w:rPr>
        <w:t>2　规范性引用文件</w:t>
      </w:r>
      <w:bookmarkEnd w:id="138"/>
      <w:bookmarkEnd w:id="139"/>
      <w:bookmarkEnd w:id="140"/>
    </w:p>
    <w:p>
      <w:pPr>
        <w:widowControl/>
        <w:snapToGrid w:val="0"/>
        <w:spacing w:line="360" w:lineRule="auto"/>
        <w:ind w:firstLine="357"/>
        <w:jc w:val="left"/>
        <w:rPr>
          <w:rFonts w:ascii="宋体" w:hAnsi="宋体"/>
          <w:color w:val="auto"/>
          <w:szCs w:val="21"/>
          <w:highlight w:val="none"/>
        </w:rPr>
      </w:pPr>
      <w:bookmarkStart w:id="141" w:name="_Toc357152502"/>
      <w:r>
        <w:rPr>
          <w:rFonts w:ascii="宋体" w:hAnsi="宋体"/>
          <w:color w:val="auto"/>
          <w:szCs w:val="21"/>
          <w:highlight w:val="none"/>
        </w:rPr>
        <w:t>下列文件对于本文件的应用是必不可少的。凡是注日期的引用文件，仅注日期的版本适用于本文件。凡是不注日期的引用文件，其最新版本（包括所有的修改单）适用于本文件。</w:t>
      </w:r>
    </w:p>
    <w:p>
      <w:pPr>
        <w:spacing w:line="360" w:lineRule="auto"/>
        <w:ind w:left="425"/>
        <w:rPr>
          <w:rFonts w:ascii="宋体" w:hAnsi="宋体"/>
          <w:color w:val="auto"/>
          <w:szCs w:val="21"/>
          <w:highlight w:val="none"/>
        </w:rPr>
      </w:pPr>
      <w:r>
        <w:rPr>
          <w:rFonts w:ascii="宋体" w:hAnsi="宋体"/>
          <w:color w:val="auto"/>
          <w:szCs w:val="21"/>
          <w:highlight w:val="none"/>
        </w:rPr>
        <w:t>GB/T 2900.1-1992</w:t>
      </w:r>
      <w:r>
        <w:rPr>
          <w:rFonts w:ascii="宋体" w:hAnsi="宋体"/>
          <w:color w:val="auto"/>
          <w:szCs w:val="21"/>
          <w:highlight w:val="none"/>
        </w:rPr>
        <w:tab/>
      </w:r>
      <w:r>
        <w:rPr>
          <w:rFonts w:hint="eastAsia" w:ascii="宋体" w:hAnsi="宋体"/>
          <w:color w:val="auto"/>
          <w:szCs w:val="21"/>
          <w:highlight w:val="none"/>
        </w:rPr>
        <w:t xml:space="preserve">    电工术语基本术语</w:t>
      </w:r>
    </w:p>
    <w:p>
      <w:pPr>
        <w:spacing w:line="360" w:lineRule="auto"/>
        <w:ind w:left="425"/>
        <w:rPr>
          <w:rFonts w:ascii="宋体" w:hAnsi="宋体"/>
          <w:color w:val="auto"/>
          <w:szCs w:val="21"/>
          <w:highlight w:val="none"/>
        </w:rPr>
      </w:pPr>
      <w:r>
        <w:rPr>
          <w:rFonts w:ascii="宋体" w:hAnsi="宋体"/>
          <w:color w:val="auto"/>
          <w:szCs w:val="21"/>
          <w:highlight w:val="none"/>
        </w:rPr>
        <w:t>GB/T 2900.17-1994</w:t>
      </w:r>
      <w:r>
        <w:rPr>
          <w:rFonts w:ascii="宋体" w:hAnsi="宋体"/>
          <w:color w:val="auto"/>
          <w:szCs w:val="21"/>
          <w:highlight w:val="none"/>
        </w:rPr>
        <w:tab/>
      </w:r>
      <w:r>
        <w:rPr>
          <w:rFonts w:hint="eastAsia" w:ascii="宋体" w:hAnsi="宋体"/>
          <w:color w:val="auto"/>
          <w:szCs w:val="21"/>
          <w:highlight w:val="none"/>
        </w:rPr>
        <w:t xml:space="preserve">    电工术语电气继电器</w:t>
      </w:r>
      <w:r>
        <w:rPr>
          <w:rFonts w:ascii="宋体" w:hAnsi="宋体"/>
          <w:color w:val="auto"/>
          <w:szCs w:val="21"/>
          <w:highlight w:val="none"/>
        </w:rPr>
        <w:t xml:space="preserve"> [IEC 6005 (IEV446)</w:t>
      </w:r>
      <w:r>
        <w:rPr>
          <w:rFonts w:hint="eastAsia" w:ascii="宋体" w:hAnsi="宋体"/>
          <w:color w:val="auto"/>
          <w:szCs w:val="21"/>
          <w:highlight w:val="none"/>
        </w:rPr>
        <w:t>：</w:t>
      </w:r>
      <w:r>
        <w:rPr>
          <w:rFonts w:ascii="宋体" w:hAnsi="宋体"/>
          <w:color w:val="auto"/>
          <w:szCs w:val="21"/>
          <w:highlight w:val="none"/>
        </w:rPr>
        <w:t>1977]</w:t>
      </w:r>
    </w:p>
    <w:p>
      <w:pPr>
        <w:spacing w:line="360" w:lineRule="auto"/>
        <w:ind w:left="425"/>
        <w:rPr>
          <w:rFonts w:ascii="宋体" w:hAnsi="宋体"/>
          <w:color w:val="auto"/>
          <w:szCs w:val="21"/>
          <w:highlight w:val="none"/>
        </w:rPr>
      </w:pPr>
      <w:r>
        <w:rPr>
          <w:rFonts w:ascii="宋体" w:hAnsi="宋体"/>
          <w:color w:val="auto"/>
          <w:szCs w:val="21"/>
          <w:highlight w:val="none"/>
        </w:rPr>
        <w:t>GB/T 2900.32-1994</w:t>
      </w:r>
      <w:r>
        <w:rPr>
          <w:rFonts w:ascii="宋体" w:hAnsi="宋体"/>
          <w:color w:val="auto"/>
          <w:szCs w:val="21"/>
          <w:highlight w:val="none"/>
        </w:rPr>
        <w:tab/>
      </w:r>
      <w:r>
        <w:rPr>
          <w:rFonts w:hint="eastAsia" w:ascii="宋体" w:hAnsi="宋体"/>
          <w:color w:val="auto"/>
          <w:szCs w:val="21"/>
          <w:highlight w:val="none"/>
        </w:rPr>
        <w:t xml:space="preserve">    电工术语电力半导体器件</w:t>
      </w:r>
    </w:p>
    <w:p>
      <w:pPr>
        <w:spacing w:line="360" w:lineRule="auto"/>
        <w:ind w:left="425"/>
        <w:rPr>
          <w:rFonts w:ascii="宋体" w:hAnsi="宋体"/>
          <w:color w:val="auto"/>
          <w:szCs w:val="21"/>
          <w:highlight w:val="none"/>
        </w:rPr>
      </w:pPr>
      <w:r>
        <w:rPr>
          <w:rFonts w:ascii="宋体" w:hAnsi="宋体"/>
          <w:color w:val="auto"/>
          <w:szCs w:val="21"/>
          <w:highlight w:val="none"/>
        </w:rPr>
        <w:t>GB/T 2900.33-2003</w:t>
      </w:r>
      <w:r>
        <w:rPr>
          <w:rFonts w:ascii="宋体" w:hAnsi="宋体"/>
          <w:color w:val="auto"/>
          <w:szCs w:val="21"/>
          <w:highlight w:val="none"/>
        </w:rPr>
        <w:tab/>
      </w:r>
      <w:r>
        <w:rPr>
          <w:rFonts w:hint="eastAsia" w:ascii="宋体" w:hAnsi="宋体"/>
          <w:color w:val="auto"/>
          <w:szCs w:val="21"/>
          <w:highlight w:val="none"/>
        </w:rPr>
        <w:t xml:space="preserve">    电工术语电力电子技术（</w:t>
      </w:r>
      <w:r>
        <w:rPr>
          <w:rFonts w:ascii="宋体" w:hAnsi="宋体"/>
          <w:color w:val="auto"/>
          <w:szCs w:val="21"/>
          <w:highlight w:val="none"/>
        </w:rPr>
        <w:t>IEC 60050-551</w:t>
      </w:r>
      <w:r>
        <w:rPr>
          <w:rFonts w:hint="eastAsia" w:ascii="宋体" w:hAnsi="宋体"/>
          <w:color w:val="auto"/>
          <w:szCs w:val="21"/>
          <w:highlight w:val="none"/>
        </w:rPr>
        <w:t>：</w:t>
      </w:r>
      <w:r>
        <w:rPr>
          <w:rFonts w:ascii="宋体" w:hAnsi="宋体"/>
          <w:color w:val="auto"/>
          <w:szCs w:val="21"/>
          <w:highlight w:val="none"/>
        </w:rPr>
        <w:t>1998</w:t>
      </w:r>
      <w:r>
        <w:rPr>
          <w:rFonts w:hint="eastAsia" w:ascii="宋体" w:hAnsi="宋体"/>
          <w:color w:val="auto"/>
          <w:szCs w:val="21"/>
          <w:highlight w:val="none"/>
        </w:rPr>
        <w:t>，</w:t>
      </w:r>
      <w:r>
        <w:rPr>
          <w:rFonts w:ascii="宋体" w:hAnsi="宋体"/>
          <w:color w:val="auto"/>
          <w:szCs w:val="21"/>
          <w:highlight w:val="none"/>
        </w:rPr>
        <w:t>IDT</w:t>
      </w:r>
      <w:r>
        <w:rPr>
          <w:rFonts w:hint="eastAsia" w:ascii="宋体" w:hAnsi="宋体"/>
          <w:color w:val="auto"/>
          <w:szCs w:val="21"/>
          <w:highlight w:val="none"/>
        </w:rPr>
        <w:t>）</w:t>
      </w:r>
    </w:p>
    <w:p>
      <w:pPr>
        <w:spacing w:line="360" w:lineRule="auto"/>
        <w:ind w:left="425"/>
        <w:rPr>
          <w:rFonts w:ascii="宋体" w:hAnsi="宋体"/>
          <w:color w:val="auto"/>
          <w:szCs w:val="21"/>
          <w:highlight w:val="none"/>
        </w:rPr>
      </w:pPr>
      <w:r>
        <w:rPr>
          <w:rFonts w:ascii="宋体" w:hAnsi="宋体"/>
          <w:color w:val="auto"/>
          <w:szCs w:val="21"/>
          <w:highlight w:val="none"/>
        </w:rPr>
        <w:t>GB/T 3797-2005</w:t>
      </w:r>
      <w:r>
        <w:rPr>
          <w:rFonts w:ascii="宋体" w:hAnsi="宋体"/>
          <w:color w:val="auto"/>
          <w:szCs w:val="21"/>
          <w:highlight w:val="none"/>
        </w:rPr>
        <w:tab/>
      </w:r>
      <w:r>
        <w:rPr>
          <w:rFonts w:hint="eastAsia" w:ascii="宋体" w:hAnsi="宋体"/>
          <w:color w:val="auto"/>
          <w:szCs w:val="21"/>
          <w:highlight w:val="none"/>
        </w:rPr>
        <w:t xml:space="preserve">    电气控制设备</w:t>
      </w:r>
    </w:p>
    <w:p>
      <w:pPr>
        <w:spacing w:line="360" w:lineRule="auto"/>
        <w:ind w:left="425"/>
        <w:rPr>
          <w:rFonts w:ascii="宋体" w:hAnsi="宋体"/>
          <w:color w:val="auto"/>
          <w:szCs w:val="21"/>
          <w:highlight w:val="none"/>
        </w:rPr>
      </w:pPr>
      <w:r>
        <w:rPr>
          <w:rFonts w:ascii="宋体" w:hAnsi="宋体"/>
          <w:color w:val="auto"/>
          <w:szCs w:val="21"/>
          <w:highlight w:val="none"/>
        </w:rPr>
        <w:t>GB50052-95</w:t>
      </w:r>
      <w:r>
        <w:rPr>
          <w:rFonts w:ascii="宋体" w:hAnsi="宋体"/>
          <w:color w:val="auto"/>
          <w:szCs w:val="21"/>
          <w:highlight w:val="none"/>
        </w:rPr>
        <w:tab/>
      </w:r>
      <w:r>
        <w:rPr>
          <w:rFonts w:ascii="宋体" w:hAnsi="宋体"/>
          <w:color w:val="auto"/>
          <w:szCs w:val="21"/>
          <w:highlight w:val="none"/>
        </w:rPr>
        <w:tab/>
      </w:r>
      <w:r>
        <w:rPr>
          <w:rFonts w:hint="eastAsia" w:ascii="宋体" w:hAnsi="宋体"/>
          <w:color w:val="auto"/>
          <w:szCs w:val="21"/>
          <w:highlight w:val="none"/>
        </w:rPr>
        <w:t xml:space="preserve">        供配电系统设计规范</w:t>
      </w:r>
    </w:p>
    <w:p>
      <w:pPr>
        <w:spacing w:line="360" w:lineRule="auto"/>
        <w:ind w:left="425"/>
        <w:rPr>
          <w:rFonts w:ascii="宋体" w:hAnsi="宋体"/>
          <w:color w:val="auto"/>
          <w:szCs w:val="21"/>
          <w:highlight w:val="none"/>
        </w:rPr>
      </w:pPr>
      <w:r>
        <w:rPr>
          <w:rFonts w:ascii="宋体" w:hAnsi="宋体"/>
          <w:color w:val="auto"/>
          <w:szCs w:val="21"/>
          <w:highlight w:val="none"/>
        </w:rPr>
        <w:t>GB50054-95</w:t>
      </w:r>
      <w:r>
        <w:rPr>
          <w:rFonts w:ascii="宋体" w:hAnsi="宋体"/>
          <w:color w:val="auto"/>
          <w:szCs w:val="21"/>
          <w:highlight w:val="none"/>
        </w:rPr>
        <w:tab/>
      </w:r>
      <w:r>
        <w:rPr>
          <w:rFonts w:ascii="宋体" w:hAnsi="宋体"/>
          <w:color w:val="auto"/>
          <w:szCs w:val="21"/>
          <w:highlight w:val="none"/>
        </w:rPr>
        <w:tab/>
      </w:r>
      <w:r>
        <w:rPr>
          <w:rFonts w:hint="eastAsia" w:ascii="宋体" w:hAnsi="宋体"/>
          <w:color w:val="auto"/>
          <w:szCs w:val="21"/>
          <w:highlight w:val="none"/>
        </w:rPr>
        <w:t xml:space="preserve">        低压配电设计规范</w:t>
      </w:r>
    </w:p>
    <w:p>
      <w:pPr>
        <w:spacing w:line="360" w:lineRule="auto"/>
        <w:ind w:left="425"/>
        <w:rPr>
          <w:rFonts w:ascii="宋体" w:hAnsi="宋体"/>
          <w:color w:val="auto"/>
          <w:szCs w:val="21"/>
          <w:highlight w:val="none"/>
        </w:rPr>
      </w:pPr>
      <w:r>
        <w:rPr>
          <w:rFonts w:ascii="宋体" w:hAnsi="宋体"/>
          <w:color w:val="auto"/>
          <w:szCs w:val="21"/>
          <w:highlight w:val="none"/>
        </w:rPr>
        <w:t>GB 4208-1993</w:t>
      </w:r>
      <w:r>
        <w:rPr>
          <w:rFonts w:ascii="宋体" w:hAnsi="宋体"/>
          <w:color w:val="auto"/>
          <w:szCs w:val="21"/>
          <w:highlight w:val="none"/>
        </w:rPr>
        <w:tab/>
      </w:r>
      <w:r>
        <w:rPr>
          <w:rFonts w:ascii="宋体" w:hAnsi="宋体"/>
          <w:color w:val="auto"/>
          <w:szCs w:val="21"/>
          <w:highlight w:val="none"/>
        </w:rPr>
        <w:tab/>
      </w:r>
      <w:r>
        <w:rPr>
          <w:rFonts w:hint="eastAsia" w:ascii="宋体" w:hAnsi="宋体"/>
          <w:color w:val="auto"/>
          <w:szCs w:val="21"/>
          <w:highlight w:val="none"/>
        </w:rPr>
        <w:t xml:space="preserve">    外壳防护等级（</w:t>
      </w:r>
      <w:r>
        <w:rPr>
          <w:rFonts w:ascii="宋体" w:hAnsi="宋体"/>
          <w:color w:val="auto"/>
          <w:szCs w:val="21"/>
          <w:highlight w:val="none"/>
        </w:rPr>
        <w:t>IP</w:t>
      </w:r>
      <w:r>
        <w:rPr>
          <w:rFonts w:hint="eastAsia" w:ascii="宋体" w:hAnsi="宋体"/>
          <w:color w:val="auto"/>
          <w:szCs w:val="21"/>
          <w:highlight w:val="none"/>
        </w:rPr>
        <w:t>代码）（</w:t>
      </w:r>
      <w:r>
        <w:rPr>
          <w:rFonts w:ascii="宋体" w:hAnsi="宋体"/>
          <w:color w:val="auto"/>
          <w:szCs w:val="21"/>
          <w:highlight w:val="none"/>
        </w:rPr>
        <w:t>IEC 60529</w:t>
      </w:r>
      <w:r>
        <w:rPr>
          <w:rFonts w:hint="eastAsia" w:ascii="宋体" w:hAnsi="宋体"/>
          <w:color w:val="auto"/>
          <w:szCs w:val="21"/>
          <w:highlight w:val="none"/>
        </w:rPr>
        <w:t>：</w:t>
      </w:r>
      <w:r>
        <w:rPr>
          <w:rFonts w:ascii="宋体" w:hAnsi="宋体"/>
          <w:color w:val="auto"/>
          <w:szCs w:val="21"/>
          <w:highlight w:val="none"/>
        </w:rPr>
        <w:t>1989</w:t>
      </w:r>
      <w:r>
        <w:rPr>
          <w:rFonts w:hint="eastAsia" w:ascii="宋体" w:hAnsi="宋体"/>
          <w:color w:val="auto"/>
          <w:szCs w:val="21"/>
          <w:highlight w:val="none"/>
        </w:rPr>
        <w:t>）</w:t>
      </w:r>
    </w:p>
    <w:p>
      <w:pPr>
        <w:spacing w:line="360" w:lineRule="auto"/>
        <w:ind w:left="425"/>
        <w:rPr>
          <w:rFonts w:ascii="宋体" w:hAnsi="宋体"/>
          <w:color w:val="auto"/>
          <w:szCs w:val="21"/>
          <w:highlight w:val="none"/>
        </w:rPr>
      </w:pPr>
      <w:r>
        <w:rPr>
          <w:rFonts w:ascii="宋体" w:hAnsi="宋体"/>
          <w:color w:val="auto"/>
          <w:szCs w:val="21"/>
          <w:highlight w:val="none"/>
        </w:rPr>
        <w:t>GB/T 7261-2000</w:t>
      </w:r>
      <w:r>
        <w:rPr>
          <w:rFonts w:ascii="宋体" w:hAnsi="宋体"/>
          <w:color w:val="auto"/>
          <w:szCs w:val="21"/>
          <w:highlight w:val="none"/>
        </w:rPr>
        <w:tab/>
      </w:r>
      <w:r>
        <w:rPr>
          <w:rFonts w:hint="eastAsia" w:ascii="宋体" w:hAnsi="宋体"/>
          <w:color w:val="auto"/>
          <w:szCs w:val="21"/>
          <w:highlight w:val="none"/>
        </w:rPr>
        <w:t xml:space="preserve">    继电器及装置基本试验方法</w:t>
      </w:r>
    </w:p>
    <w:p>
      <w:pPr>
        <w:spacing w:line="360" w:lineRule="auto"/>
        <w:ind w:left="425"/>
        <w:rPr>
          <w:rFonts w:ascii="宋体" w:hAnsi="宋体"/>
          <w:color w:val="auto"/>
          <w:szCs w:val="21"/>
          <w:highlight w:val="none"/>
        </w:rPr>
      </w:pPr>
      <w:r>
        <w:rPr>
          <w:rFonts w:ascii="宋体" w:hAnsi="宋体"/>
          <w:color w:val="auto"/>
          <w:szCs w:val="21"/>
          <w:highlight w:val="none"/>
        </w:rPr>
        <w:t>GB 9969.1-1998</w:t>
      </w:r>
      <w:r>
        <w:rPr>
          <w:rFonts w:ascii="宋体" w:hAnsi="宋体"/>
          <w:color w:val="auto"/>
          <w:szCs w:val="21"/>
          <w:highlight w:val="none"/>
        </w:rPr>
        <w:tab/>
      </w:r>
      <w:r>
        <w:rPr>
          <w:rFonts w:ascii="宋体" w:hAnsi="宋体"/>
          <w:color w:val="auto"/>
          <w:szCs w:val="21"/>
          <w:highlight w:val="none"/>
        </w:rPr>
        <w:tab/>
      </w:r>
      <w:r>
        <w:rPr>
          <w:rFonts w:hint="eastAsia" w:ascii="宋体" w:hAnsi="宋体"/>
          <w:color w:val="auto"/>
          <w:szCs w:val="21"/>
          <w:highlight w:val="none"/>
        </w:rPr>
        <w:t>工业产品使用说明书总则</w:t>
      </w:r>
    </w:p>
    <w:p>
      <w:pPr>
        <w:spacing w:line="360" w:lineRule="auto"/>
        <w:ind w:left="425"/>
        <w:rPr>
          <w:rFonts w:ascii="宋体" w:hAnsi="宋体"/>
          <w:color w:val="auto"/>
          <w:szCs w:val="21"/>
          <w:highlight w:val="none"/>
        </w:rPr>
      </w:pPr>
      <w:r>
        <w:rPr>
          <w:rFonts w:ascii="宋体" w:hAnsi="宋体"/>
          <w:color w:val="auto"/>
          <w:szCs w:val="21"/>
          <w:highlight w:val="none"/>
        </w:rPr>
        <w:t>GB/T 14549-1993</w:t>
      </w:r>
      <w:r>
        <w:rPr>
          <w:rFonts w:ascii="宋体" w:hAnsi="宋体"/>
          <w:color w:val="auto"/>
          <w:szCs w:val="21"/>
          <w:highlight w:val="none"/>
        </w:rPr>
        <w:tab/>
      </w:r>
      <w:r>
        <w:rPr>
          <w:rFonts w:hint="eastAsia" w:ascii="宋体" w:hAnsi="宋体"/>
          <w:color w:val="auto"/>
          <w:szCs w:val="21"/>
          <w:highlight w:val="none"/>
        </w:rPr>
        <w:t xml:space="preserve">    电能质量公用电网谐波</w:t>
      </w:r>
    </w:p>
    <w:p>
      <w:pPr>
        <w:spacing w:line="360" w:lineRule="auto"/>
        <w:ind w:left="425"/>
        <w:rPr>
          <w:rFonts w:ascii="宋体" w:hAnsi="宋体"/>
          <w:color w:val="auto"/>
          <w:szCs w:val="21"/>
          <w:highlight w:val="none"/>
        </w:rPr>
      </w:pPr>
      <w:r>
        <w:rPr>
          <w:rFonts w:ascii="宋体" w:hAnsi="宋体"/>
          <w:color w:val="auto"/>
          <w:szCs w:val="21"/>
          <w:highlight w:val="none"/>
        </w:rPr>
        <w:t>GB/T12325-2003</w:t>
      </w:r>
      <w:r>
        <w:rPr>
          <w:rFonts w:hint="eastAsia" w:ascii="宋体" w:hAnsi="宋体"/>
          <w:color w:val="auto"/>
          <w:szCs w:val="21"/>
          <w:highlight w:val="none"/>
        </w:rPr>
        <w:t xml:space="preserve">  </w:t>
      </w:r>
      <w:r>
        <w:rPr>
          <w:rFonts w:ascii="宋体" w:hAnsi="宋体"/>
          <w:color w:val="auto"/>
          <w:szCs w:val="21"/>
          <w:highlight w:val="none"/>
        </w:rPr>
        <w:tab/>
      </w:r>
      <w:r>
        <w:rPr>
          <w:rFonts w:hint="eastAsia" w:ascii="宋体" w:hAnsi="宋体"/>
          <w:color w:val="auto"/>
          <w:szCs w:val="21"/>
          <w:highlight w:val="none"/>
        </w:rPr>
        <w:t xml:space="preserve">    电能质量供电电压允许偏差</w:t>
      </w:r>
    </w:p>
    <w:p>
      <w:pPr>
        <w:spacing w:line="360" w:lineRule="auto"/>
        <w:ind w:left="425"/>
        <w:rPr>
          <w:rFonts w:ascii="宋体" w:hAnsi="宋体"/>
          <w:color w:val="auto"/>
          <w:szCs w:val="21"/>
          <w:highlight w:val="none"/>
        </w:rPr>
      </w:pPr>
      <w:r>
        <w:rPr>
          <w:rFonts w:ascii="宋体" w:hAnsi="宋体"/>
          <w:color w:val="auto"/>
          <w:szCs w:val="21"/>
          <w:highlight w:val="none"/>
        </w:rPr>
        <w:t>GB12326-2000</w:t>
      </w:r>
      <w:r>
        <w:rPr>
          <w:rFonts w:ascii="宋体" w:hAnsi="宋体"/>
          <w:color w:val="auto"/>
          <w:szCs w:val="21"/>
          <w:highlight w:val="none"/>
        </w:rPr>
        <w:tab/>
      </w:r>
      <w:r>
        <w:rPr>
          <w:rFonts w:ascii="宋体" w:hAnsi="宋体"/>
          <w:color w:val="auto"/>
          <w:szCs w:val="21"/>
          <w:highlight w:val="none"/>
        </w:rPr>
        <w:tab/>
      </w:r>
      <w:r>
        <w:rPr>
          <w:rFonts w:hint="eastAsia" w:ascii="宋体" w:hAnsi="宋体"/>
          <w:color w:val="auto"/>
          <w:szCs w:val="21"/>
          <w:highlight w:val="none"/>
        </w:rPr>
        <w:t xml:space="preserve">    电能质量电压波动与闪变</w:t>
      </w:r>
    </w:p>
    <w:p>
      <w:pPr>
        <w:spacing w:line="360" w:lineRule="auto"/>
        <w:ind w:left="425"/>
        <w:rPr>
          <w:rFonts w:ascii="宋体" w:hAnsi="宋体"/>
          <w:color w:val="auto"/>
          <w:szCs w:val="21"/>
          <w:highlight w:val="none"/>
        </w:rPr>
      </w:pPr>
      <w:r>
        <w:rPr>
          <w:rFonts w:ascii="宋体" w:hAnsi="宋体"/>
          <w:color w:val="auto"/>
          <w:szCs w:val="21"/>
          <w:highlight w:val="none"/>
        </w:rPr>
        <w:t>GB/T15543-1995</w:t>
      </w:r>
      <w:r>
        <w:rPr>
          <w:rFonts w:hint="eastAsia" w:ascii="宋体" w:hAnsi="宋体"/>
          <w:color w:val="auto"/>
          <w:szCs w:val="21"/>
          <w:highlight w:val="none"/>
        </w:rPr>
        <w:t xml:space="preserve">  </w:t>
      </w:r>
      <w:r>
        <w:rPr>
          <w:rFonts w:ascii="宋体" w:hAnsi="宋体"/>
          <w:color w:val="auto"/>
          <w:szCs w:val="21"/>
          <w:highlight w:val="none"/>
        </w:rPr>
        <w:tab/>
      </w:r>
      <w:r>
        <w:rPr>
          <w:rFonts w:hint="eastAsia" w:ascii="宋体" w:hAnsi="宋体"/>
          <w:color w:val="auto"/>
          <w:szCs w:val="21"/>
          <w:highlight w:val="none"/>
        </w:rPr>
        <w:t xml:space="preserve">    电能质量三相电压允许不平衡度</w:t>
      </w:r>
    </w:p>
    <w:p>
      <w:pPr>
        <w:spacing w:line="360" w:lineRule="auto"/>
        <w:ind w:left="425"/>
        <w:rPr>
          <w:rFonts w:ascii="宋体" w:hAnsi="宋体"/>
          <w:color w:val="auto"/>
          <w:szCs w:val="21"/>
          <w:highlight w:val="none"/>
        </w:rPr>
      </w:pPr>
      <w:r>
        <w:rPr>
          <w:rFonts w:ascii="宋体" w:hAnsi="宋体"/>
          <w:color w:val="auto"/>
          <w:szCs w:val="21"/>
          <w:highlight w:val="none"/>
        </w:rPr>
        <w:t>GB/T15945-1995</w:t>
      </w:r>
      <w:r>
        <w:rPr>
          <w:rFonts w:ascii="宋体" w:hAnsi="宋体"/>
          <w:color w:val="auto"/>
          <w:szCs w:val="21"/>
          <w:highlight w:val="none"/>
        </w:rPr>
        <w:tab/>
      </w:r>
      <w:r>
        <w:rPr>
          <w:rFonts w:hint="eastAsia" w:ascii="宋体" w:hAnsi="宋体"/>
          <w:color w:val="auto"/>
          <w:szCs w:val="21"/>
          <w:highlight w:val="none"/>
        </w:rPr>
        <w:t xml:space="preserve">    电能质量电力系统频率允许偏差</w:t>
      </w:r>
    </w:p>
    <w:p>
      <w:pPr>
        <w:spacing w:line="360" w:lineRule="auto"/>
        <w:ind w:left="425"/>
        <w:rPr>
          <w:rFonts w:ascii="宋体" w:hAnsi="宋体"/>
          <w:color w:val="auto"/>
          <w:szCs w:val="21"/>
          <w:highlight w:val="none"/>
        </w:rPr>
      </w:pPr>
      <w:r>
        <w:rPr>
          <w:rFonts w:ascii="宋体" w:hAnsi="宋体"/>
          <w:color w:val="auto"/>
          <w:szCs w:val="21"/>
          <w:highlight w:val="none"/>
        </w:rPr>
        <w:t>GB/T 15576-1995</w:t>
      </w:r>
      <w:r>
        <w:rPr>
          <w:rFonts w:ascii="宋体" w:hAnsi="宋体"/>
          <w:color w:val="auto"/>
          <w:szCs w:val="21"/>
          <w:highlight w:val="none"/>
        </w:rPr>
        <w:tab/>
      </w:r>
      <w:r>
        <w:rPr>
          <w:rFonts w:hint="eastAsia" w:ascii="宋体" w:hAnsi="宋体"/>
          <w:color w:val="auto"/>
          <w:szCs w:val="21"/>
          <w:highlight w:val="none"/>
        </w:rPr>
        <w:t xml:space="preserve">    低压无功功率静态补偿装置总技术条件</w:t>
      </w:r>
    </w:p>
    <w:p>
      <w:pPr>
        <w:spacing w:line="360" w:lineRule="auto"/>
        <w:ind w:left="425"/>
        <w:rPr>
          <w:rFonts w:ascii="宋体" w:hAnsi="宋体"/>
          <w:color w:val="auto"/>
          <w:szCs w:val="21"/>
          <w:highlight w:val="none"/>
        </w:rPr>
      </w:pPr>
      <w:r>
        <w:rPr>
          <w:rFonts w:ascii="宋体" w:hAnsi="宋体"/>
          <w:color w:val="auto"/>
          <w:szCs w:val="21"/>
          <w:highlight w:val="none"/>
        </w:rPr>
        <w:t>IEC61642</w:t>
      </w:r>
      <w:r>
        <w:rPr>
          <w:rFonts w:ascii="宋体" w:hAnsi="宋体"/>
          <w:color w:val="auto"/>
          <w:szCs w:val="21"/>
          <w:highlight w:val="none"/>
        </w:rPr>
        <w:tab/>
      </w:r>
      <w:r>
        <w:rPr>
          <w:rFonts w:ascii="宋体" w:hAnsi="宋体"/>
          <w:color w:val="auto"/>
          <w:szCs w:val="21"/>
          <w:highlight w:val="none"/>
        </w:rPr>
        <w:tab/>
      </w:r>
      <w:r>
        <w:rPr>
          <w:rFonts w:ascii="宋体" w:hAnsi="宋体"/>
          <w:color w:val="auto"/>
          <w:szCs w:val="21"/>
          <w:highlight w:val="none"/>
        </w:rPr>
        <w:tab/>
      </w:r>
      <w:r>
        <w:rPr>
          <w:rFonts w:hint="eastAsia" w:ascii="宋体" w:hAnsi="宋体"/>
          <w:color w:val="auto"/>
          <w:szCs w:val="21"/>
          <w:highlight w:val="none"/>
        </w:rPr>
        <w:t xml:space="preserve">    受谐波影响的工业交流电网、过滤器和并联电容器的应用</w:t>
      </w:r>
    </w:p>
    <w:p>
      <w:pPr>
        <w:spacing w:line="360" w:lineRule="auto"/>
        <w:ind w:left="425"/>
        <w:rPr>
          <w:rFonts w:ascii="宋体" w:hAnsi="宋体"/>
          <w:color w:val="auto"/>
          <w:szCs w:val="21"/>
          <w:highlight w:val="none"/>
        </w:rPr>
      </w:pPr>
      <w:r>
        <w:rPr>
          <w:rFonts w:ascii="宋体" w:hAnsi="宋体"/>
          <w:color w:val="auto"/>
          <w:szCs w:val="21"/>
          <w:highlight w:val="none"/>
        </w:rPr>
        <w:t>IEC61000</w:t>
      </w:r>
      <w:r>
        <w:rPr>
          <w:rFonts w:ascii="宋体" w:hAnsi="宋体"/>
          <w:color w:val="auto"/>
          <w:szCs w:val="21"/>
          <w:highlight w:val="none"/>
        </w:rPr>
        <w:tab/>
      </w:r>
      <w:r>
        <w:rPr>
          <w:rFonts w:ascii="宋体" w:hAnsi="宋体"/>
          <w:color w:val="auto"/>
          <w:szCs w:val="21"/>
          <w:highlight w:val="none"/>
        </w:rPr>
        <w:tab/>
      </w:r>
      <w:r>
        <w:rPr>
          <w:rFonts w:ascii="宋体" w:hAnsi="宋体"/>
          <w:color w:val="auto"/>
          <w:szCs w:val="21"/>
          <w:highlight w:val="none"/>
        </w:rPr>
        <w:tab/>
      </w:r>
      <w:r>
        <w:rPr>
          <w:rFonts w:hint="eastAsia" w:ascii="宋体" w:hAnsi="宋体"/>
          <w:color w:val="auto"/>
          <w:szCs w:val="21"/>
          <w:highlight w:val="none"/>
        </w:rPr>
        <w:t xml:space="preserve">    电磁兼容（</w:t>
      </w:r>
      <w:r>
        <w:rPr>
          <w:rFonts w:ascii="宋体" w:hAnsi="宋体"/>
          <w:color w:val="auto"/>
          <w:szCs w:val="21"/>
          <w:highlight w:val="none"/>
        </w:rPr>
        <w:t>EMC</w:t>
      </w:r>
      <w:r>
        <w:rPr>
          <w:rFonts w:hint="eastAsia" w:ascii="宋体" w:hAnsi="宋体"/>
          <w:color w:val="auto"/>
          <w:szCs w:val="21"/>
          <w:highlight w:val="none"/>
        </w:rPr>
        <w:t>）</w:t>
      </w:r>
    </w:p>
    <w:p>
      <w:pPr>
        <w:spacing w:line="360" w:lineRule="auto"/>
        <w:ind w:left="425"/>
        <w:rPr>
          <w:rFonts w:ascii="宋体" w:hAnsi="宋体"/>
          <w:color w:val="auto"/>
          <w:szCs w:val="21"/>
          <w:highlight w:val="none"/>
        </w:rPr>
      </w:pPr>
      <w:r>
        <w:rPr>
          <w:rFonts w:ascii="宋体" w:hAnsi="宋体"/>
          <w:color w:val="auto"/>
          <w:szCs w:val="21"/>
          <w:highlight w:val="none"/>
        </w:rPr>
        <w:t>JB/T 7828-1995</w:t>
      </w:r>
      <w:r>
        <w:rPr>
          <w:rFonts w:ascii="宋体" w:hAnsi="宋体"/>
          <w:color w:val="auto"/>
          <w:szCs w:val="21"/>
          <w:highlight w:val="none"/>
        </w:rPr>
        <w:tab/>
      </w:r>
      <w:r>
        <w:rPr>
          <w:rFonts w:ascii="宋体" w:hAnsi="宋体"/>
          <w:color w:val="auto"/>
          <w:szCs w:val="21"/>
          <w:highlight w:val="none"/>
        </w:rPr>
        <w:tab/>
      </w:r>
      <w:r>
        <w:rPr>
          <w:rFonts w:hint="eastAsia" w:ascii="宋体" w:hAnsi="宋体"/>
          <w:color w:val="auto"/>
          <w:szCs w:val="21"/>
          <w:highlight w:val="none"/>
        </w:rPr>
        <w:t>继电器及其装置包装贮运技术条件</w:t>
      </w:r>
    </w:p>
    <w:p>
      <w:pPr>
        <w:spacing w:line="360" w:lineRule="auto"/>
        <w:ind w:left="425"/>
        <w:rPr>
          <w:rFonts w:ascii="宋体" w:hAnsi="宋体"/>
          <w:color w:val="auto"/>
          <w:szCs w:val="21"/>
          <w:highlight w:val="none"/>
        </w:rPr>
      </w:pPr>
      <w:r>
        <w:rPr>
          <w:rFonts w:ascii="宋体" w:hAnsi="宋体"/>
          <w:color w:val="auto"/>
          <w:szCs w:val="21"/>
          <w:highlight w:val="none"/>
        </w:rPr>
        <w:t>JB/T 9568-2000</w:t>
      </w:r>
      <w:r>
        <w:rPr>
          <w:rFonts w:ascii="宋体" w:hAnsi="宋体"/>
          <w:color w:val="auto"/>
          <w:szCs w:val="21"/>
          <w:highlight w:val="none"/>
        </w:rPr>
        <w:tab/>
      </w:r>
      <w:r>
        <w:rPr>
          <w:rFonts w:ascii="宋体" w:hAnsi="宋体"/>
          <w:color w:val="auto"/>
          <w:szCs w:val="21"/>
          <w:highlight w:val="none"/>
        </w:rPr>
        <w:tab/>
      </w:r>
      <w:r>
        <w:rPr>
          <w:rFonts w:hint="eastAsia" w:ascii="宋体" w:hAnsi="宋体"/>
          <w:color w:val="auto"/>
          <w:szCs w:val="21"/>
          <w:highlight w:val="none"/>
        </w:rPr>
        <w:t>电力系统继电器、保护及自动装置通用技术条件</w:t>
      </w:r>
    </w:p>
    <w:p>
      <w:pPr>
        <w:spacing w:line="360" w:lineRule="auto"/>
        <w:ind w:left="425"/>
        <w:rPr>
          <w:rFonts w:hint="eastAsia" w:ascii="宋体" w:hAnsi="宋体"/>
          <w:color w:val="auto"/>
          <w:szCs w:val="21"/>
          <w:highlight w:val="none"/>
        </w:rPr>
      </w:pPr>
      <w:r>
        <w:rPr>
          <w:rFonts w:hint="eastAsia" w:ascii="宋体" w:hAnsi="宋体"/>
          <w:color w:val="auto"/>
          <w:szCs w:val="21"/>
          <w:highlight w:val="none"/>
        </w:rPr>
        <w:t>D</w:t>
      </w:r>
      <w:r>
        <w:rPr>
          <w:rFonts w:ascii="宋体" w:hAnsi="宋体"/>
          <w:color w:val="auto"/>
          <w:szCs w:val="21"/>
          <w:highlight w:val="none"/>
        </w:rPr>
        <w:t>L/T1216 2019        低压静止无功发生装置技术规范</w:t>
      </w:r>
    </w:p>
    <w:p>
      <w:pPr>
        <w:pStyle w:val="3"/>
        <w:rPr>
          <w:rFonts w:ascii="宋体" w:hAnsi="宋体"/>
          <w:color w:val="auto"/>
          <w:szCs w:val="21"/>
          <w:highlight w:val="none"/>
        </w:rPr>
      </w:pPr>
      <w:bookmarkStart w:id="142" w:name="_Toc429321059"/>
      <w:bookmarkStart w:id="143" w:name="_Toc463790492"/>
      <w:r>
        <w:rPr>
          <w:rFonts w:hint="eastAsia" w:ascii="宋体" w:hAnsi="宋体"/>
          <w:color w:val="auto"/>
          <w:szCs w:val="21"/>
          <w:highlight w:val="none"/>
        </w:rPr>
        <w:t>3　术语和定义</w:t>
      </w:r>
      <w:bookmarkEnd w:id="141"/>
      <w:bookmarkEnd w:id="142"/>
      <w:bookmarkEnd w:id="143"/>
    </w:p>
    <w:p>
      <w:pPr>
        <w:spacing w:line="360" w:lineRule="auto"/>
        <w:ind w:left="425"/>
        <w:rPr>
          <w:rFonts w:ascii="宋体" w:hAnsi="宋体"/>
          <w:color w:val="auto"/>
          <w:szCs w:val="21"/>
          <w:highlight w:val="none"/>
        </w:rPr>
      </w:pPr>
      <w:bookmarkStart w:id="144" w:name="_Toc357152503"/>
      <w:r>
        <w:rPr>
          <w:rFonts w:ascii="宋体" w:hAnsi="宋体"/>
          <w:color w:val="auto"/>
          <w:szCs w:val="21"/>
          <w:highlight w:val="none"/>
        </w:rPr>
        <w:t>GB 1094.1</w:t>
      </w:r>
      <w:r>
        <w:rPr>
          <w:rFonts w:hint="eastAsia" w:ascii="宋体" w:hAnsi="宋体"/>
          <w:color w:val="auto"/>
          <w:szCs w:val="21"/>
          <w:highlight w:val="none"/>
        </w:rPr>
        <w:t>-1996</w:t>
      </w:r>
      <w:r>
        <w:rPr>
          <w:rFonts w:ascii="宋体" w:hAnsi="宋体"/>
          <w:color w:val="auto"/>
          <w:szCs w:val="21"/>
          <w:highlight w:val="none"/>
        </w:rPr>
        <w:t>、GB/T 2900.15</w:t>
      </w:r>
      <w:r>
        <w:rPr>
          <w:rFonts w:hint="eastAsia" w:ascii="宋体" w:hAnsi="宋体"/>
          <w:color w:val="auto"/>
          <w:szCs w:val="21"/>
          <w:highlight w:val="none"/>
        </w:rPr>
        <w:t>、</w:t>
      </w:r>
      <w:r>
        <w:rPr>
          <w:rFonts w:ascii="宋体" w:hAnsi="宋体"/>
          <w:color w:val="auto"/>
          <w:szCs w:val="21"/>
          <w:highlight w:val="none"/>
        </w:rPr>
        <w:t>GB 10230.1</w:t>
      </w:r>
      <w:r>
        <w:rPr>
          <w:rFonts w:hint="eastAsia" w:ascii="宋体" w:hAnsi="宋体"/>
          <w:color w:val="auto"/>
          <w:szCs w:val="21"/>
          <w:highlight w:val="none"/>
        </w:rPr>
        <w:t>-2007</w:t>
      </w:r>
      <w:r>
        <w:rPr>
          <w:rFonts w:ascii="宋体" w:hAnsi="宋体"/>
          <w:color w:val="auto"/>
          <w:szCs w:val="21"/>
          <w:highlight w:val="none"/>
        </w:rPr>
        <w:t>中确立的</w:t>
      </w:r>
      <w:r>
        <w:rPr>
          <w:rFonts w:hint="eastAsia" w:ascii="宋体" w:hAnsi="宋体"/>
          <w:color w:val="auto"/>
          <w:szCs w:val="21"/>
          <w:highlight w:val="none"/>
        </w:rPr>
        <w:t>及以下</w:t>
      </w:r>
      <w:r>
        <w:rPr>
          <w:rFonts w:ascii="宋体" w:hAnsi="宋体"/>
          <w:color w:val="auto"/>
          <w:szCs w:val="21"/>
          <w:highlight w:val="none"/>
        </w:rPr>
        <w:t>术语和定义适用于本标准。</w:t>
      </w:r>
    </w:p>
    <w:p>
      <w:pPr>
        <w:numPr>
          <w:ilvl w:val="0"/>
          <w:numId w:val="32"/>
        </w:numPr>
        <w:spacing w:line="360" w:lineRule="auto"/>
        <w:rPr>
          <w:rFonts w:ascii="宋体" w:hAnsi="宋体"/>
          <w:color w:val="auto"/>
          <w:kern w:val="44"/>
          <w:szCs w:val="21"/>
          <w:highlight w:val="none"/>
        </w:rPr>
      </w:pPr>
      <w:bookmarkStart w:id="145" w:name="_Toc371852011"/>
      <w:bookmarkStart w:id="146" w:name="_Toc370202726"/>
      <w:bookmarkStart w:id="147" w:name="_Toc370189851"/>
      <w:r>
        <w:rPr>
          <w:rFonts w:hint="eastAsia" w:ascii="宋体" w:hAnsi="宋体"/>
          <w:color w:val="auto"/>
          <w:kern w:val="44"/>
          <w:szCs w:val="21"/>
          <w:highlight w:val="none"/>
        </w:rPr>
        <w:t>双向</w:t>
      </w:r>
      <w:bookmarkEnd w:id="145"/>
      <w:bookmarkEnd w:id="146"/>
      <w:bookmarkEnd w:id="147"/>
      <w:r>
        <w:rPr>
          <w:rFonts w:hint="eastAsia" w:ascii="宋体" w:hAnsi="宋体"/>
          <w:color w:val="auto"/>
          <w:kern w:val="44"/>
          <w:szCs w:val="21"/>
          <w:highlight w:val="none"/>
        </w:rPr>
        <w:t>动态无功跟踪补偿</w:t>
      </w:r>
    </w:p>
    <w:p>
      <w:pPr>
        <w:pStyle w:val="37"/>
        <w:spacing w:line="360" w:lineRule="auto"/>
        <w:ind w:firstLine="420"/>
        <w:rPr>
          <w:rFonts w:hAnsi="宋体"/>
          <w:color w:val="auto"/>
          <w:sz w:val="21"/>
          <w:szCs w:val="21"/>
          <w:highlight w:val="none"/>
        </w:rPr>
      </w:pPr>
      <w:r>
        <w:rPr>
          <w:rFonts w:hint="eastAsia" w:hAnsi="宋体"/>
          <w:color w:val="auto"/>
          <w:sz w:val="21"/>
          <w:szCs w:val="21"/>
          <w:highlight w:val="none"/>
        </w:rPr>
        <w:t>静止无功发生器可实现感性、容性双向动态无功跟踪补偿，设备根据外部电流互感器，实时检测负载电流，计算分析负载电流的无功含量，然后根据设定好的补偿范围来控制PWM信号发生器输出PWM信号到IGBT驱动电路，使逆变器产生一个与系统无功分量大小相等、方向相反的无功电流接入系统，从而达到实时动态跟踪补偿无功的目的。</w:t>
      </w:r>
      <w:bookmarkEnd w:id="144"/>
      <w:bookmarkStart w:id="148" w:name="_Toc321477723"/>
      <w:bookmarkStart w:id="149" w:name="_Toc321312610"/>
      <w:bookmarkStart w:id="150" w:name="_Toc329336397"/>
      <w:bookmarkStart w:id="151" w:name="_Toc321312678"/>
      <w:bookmarkStart w:id="152" w:name="_Toc376165572"/>
      <w:bookmarkStart w:id="153" w:name="_Toc357152504"/>
    </w:p>
    <w:p>
      <w:pPr>
        <w:numPr>
          <w:ilvl w:val="0"/>
          <w:numId w:val="32"/>
        </w:numPr>
        <w:spacing w:line="360" w:lineRule="auto"/>
        <w:rPr>
          <w:rFonts w:ascii="宋体" w:hAnsi="宋体"/>
          <w:color w:val="auto"/>
          <w:kern w:val="44"/>
          <w:szCs w:val="21"/>
          <w:highlight w:val="none"/>
        </w:rPr>
      </w:pPr>
      <w:r>
        <w:rPr>
          <w:rFonts w:hint="eastAsia" w:ascii="宋体" w:hAnsi="宋体"/>
          <w:color w:val="auto"/>
          <w:kern w:val="44"/>
          <w:szCs w:val="21"/>
          <w:highlight w:val="none"/>
        </w:rPr>
        <w:t>谐波抑制功能</w:t>
      </w:r>
    </w:p>
    <w:p>
      <w:pPr>
        <w:pStyle w:val="37"/>
        <w:spacing w:line="360" w:lineRule="auto"/>
        <w:ind w:firstLine="420"/>
        <w:rPr>
          <w:rFonts w:hAnsi="宋体"/>
          <w:color w:val="auto"/>
          <w:sz w:val="21"/>
          <w:szCs w:val="21"/>
          <w:highlight w:val="none"/>
        </w:rPr>
      </w:pPr>
      <w:r>
        <w:rPr>
          <w:rFonts w:hint="eastAsia" w:hAnsi="宋体"/>
          <w:color w:val="auto"/>
          <w:sz w:val="21"/>
          <w:szCs w:val="21"/>
          <w:highlight w:val="none"/>
        </w:rPr>
        <w:t>静止无功发生器可实现谐波电流的抑制滤除功能，实时检测负载电流，并通过计算来分析负载电流的谐波含量，然后根据设定好的滤除范围来控制PWM信号发生器输出PWM信号到IGBT驱动电路，使逆变器产生一个与谐波电流分量幅值相等、相位相反的电流注入系统，从而达到实时动态跟踪滤除谐波。</w:t>
      </w:r>
    </w:p>
    <w:p>
      <w:pPr>
        <w:pStyle w:val="37"/>
        <w:spacing w:line="360" w:lineRule="auto"/>
        <w:ind w:firstLine="420"/>
        <w:rPr>
          <w:rFonts w:hAnsi="宋体"/>
          <w:color w:val="auto"/>
          <w:sz w:val="21"/>
          <w:szCs w:val="21"/>
          <w:highlight w:val="none"/>
        </w:rPr>
      </w:pPr>
    </w:p>
    <w:p>
      <w:pPr>
        <w:pStyle w:val="3"/>
        <w:rPr>
          <w:rFonts w:ascii="宋体" w:hAnsi="宋体"/>
          <w:color w:val="auto"/>
          <w:szCs w:val="21"/>
          <w:highlight w:val="none"/>
        </w:rPr>
      </w:pPr>
      <w:bookmarkStart w:id="154" w:name="_Toc429321060"/>
      <w:bookmarkStart w:id="155" w:name="_Toc463790493"/>
      <w:r>
        <w:rPr>
          <w:rFonts w:hint="eastAsia" w:ascii="宋体" w:hAnsi="宋体"/>
          <w:color w:val="auto"/>
          <w:szCs w:val="21"/>
          <w:highlight w:val="none"/>
        </w:rPr>
        <w:t>4  使用条件</w:t>
      </w:r>
      <w:bookmarkEnd w:id="148"/>
      <w:bookmarkEnd w:id="149"/>
      <w:bookmarkEnd w:id="150"/>
      <w:bookmarkEnd w:id="151"/>
      <w:bookmarkEnd w:id="152"/>
      <w:bookmarkEnd w:id="154"/>
      <w:bookmarkEnd w:id="155"/>
      <w:bookmarkStart w:id="156" w:name="_Toc369612045"/>
      <w:bookmarkStart w:id="157" w:name="_Toc370202730"/>
      <w:bookmarkStart w:id="158" w:name="_Toc369595673"/>
      <w:bookmarkStart w:id="159" w:name="_Toc369884189"/>
      <w:bookmarkStart w:id="160" w:name="_Toc370189856"/>
      <w:bookmarkStart w:id="161" w:name="_Toc19566"/>
    </w:p>
    <w:bookmarkEnd w:id="153"/>
    <w:bookmarkEnd w:id="156"/>
    <w:bookmarkEnd w:id="157"/>
    <w:bookmarkEnd w:id="158"/>
    <w:bookmarkEnd w:id="159"/>
    <w:bookmarkEnd w:id="160"/>
    <w:bookmarkEnd w:id="161"/>
    <w:p>
      <w:pPr>
        <w:snapToGrid w:val="0"/>
        <w:spacing w:line="360" w:lineRule="auto"/>
        <w:ind w:left="360"/>
        <w:rPr>
          <w:rFonts w:ascii="宋体" w:hAnsi="宋体"/>
          <w:snapToGrid w:val="0"/>
          <w:color w:val="auto"/>
          <w:kern w:val="0"/>
          <w:szCs w:val="21"/>
          <w:highlight w:val="none"/>
        </w:rPr>
      </w:pPr>
      <w:bookmarkStart w:id="162" w:name="_Toc376165573"/>
      <w:r>
        <w:rPr>
          <w:rFonts w:hint="eastAsia" w:ascii="宋体" w:hAnsi="宋体"/>
          <w:snapToGrid w:val="0"/>
          <w:color w:val="auto"/>
          <w:kern w:val="0"/>
          <w:szCs w:val="21"/>
          <w:highlight w:val="none"/>
        </w:rPr>
        <w:t>运行温度：</w:t>
      </w:r>
      <w:r>
        <w:rPr>
          <w:rFonts w:ascii="宋体" w:hAnsi="宋体"/>
          <w:snapToGrid w:val="0"/>
          <w:color w:val="auto"/>
          <w:kern w:val="0"/>
          <w:szCs w:val="21"/>
          <w:highlight w:val="none"/>
        </w:rPr>
        <w:t>-</w:t>
      </w:r>
      <w:r>
        <w:rPr>
          <w:rFonts w:hint="eastAsia" w:ascii="宋体" w:hAnsi="宋体"/>
          <w:snapToGrid w:val="0"/>
          <w:color w:val="auto"/>
          <w:kern w:val="0"/>
          <w:szCs w:val="21"/>
          <w:highlight w:val="none"/>
        </w:rPr>
        <w:t>5℃～45℃；</w:t>
      </w:r>
    </w:p>
    <w:p>
      <w:pPr>
        <w:snapToGrid w:val="0"/>
        <w:spacing w:line="360" w:lineRule="auto"/>
        <w:ind w:left="360"/>
        <w:rPr>
          <w:rFonts w:ascii="宋体" w:hAnsi="宋体"/>
          <w:snapToGrid w:val="0"/>
          <w:color w:val="auto"/>
          <w:kern w:val="0"/>
          <w:szCs w:val="21"/>
          <w:highlight w:val="none"/>
        </w:rPr>
      </w:pPr>
      <w:r>
        <w:rPr>
          <w:rFonts w:hint="eastAsia" w:ascii="宋体" w:hAnsi="宋体"/>
          <w:snapToGrid w:val="0"/>
          <w:color w:val="auto"/>
          <w:kern w:val="0"/>
          <w:szCs w:val="21"/>
          <w:highlight w:val="none"/>
        </w:rPr>
        <w:t>相对湿度：日平均值不低于99%，最湿月的月平均相对湿度不大于</w:t>
      </w:r>
      <w:r>
        <w:rPr>
          <w:rFonts w:ascii="宋体" w:hAnsi="宋体"/>
          <w:snapToGrid w:val="0"/>
          <w:color w:val="auto"/>
          <w:kern w:val="0"/>
          <w:szCs w:val="21"/>
          <w:highlight w:val="none"/>
        </w:rPr>
        <w:t>9</w:t>
      </w:r>
      <w:r>
        <w:rPr>
          <w:rFonts w:hint="eastAsia" w:ascii="宋体" w:hAnsi="宋体"/>
          <w:snapToGrid w:val="0"/>
          <w:color w:val="auto"/>
          <w:kern w:val="0"/>
          <w:szCs w:val="21"/>
          <w:highlight w:val="none"/>
        </w:rPr>
        <w:t>5</w:t>
      </w:r>
      <w:r>
        <w:rPr>
          <w:rFonts w:ascii="宋体" w:hAnsi="宋体"/>
          <w:snapToGrid w:val="0"/>
          <w:color w:val="auto"/>
          <w:kern w:val="0"/>
          <w:szCs w:val="21"/>
          <w:highlight w:val="none"/>
        </w:rPr>
        <w:t>%</w:t>
      </w:r>
      <w:r>
        <w:rPr>
          <w:rFonts w:hint="eastAsia" w:ascii="宋体" w:hAnsi="宋体"/>
          <w:snapToGrid w:val="0"/>
          <w:color w:val="auto"/>
          <w:kern w:val="0"/>
          <w:szCs w:val="21"/>
          <w:highlight w:val="none"/>
        </w:rPr>
        <w:t>；</w:t>
      </w:r>
    </w:p>
    <w:p>
      <w:pPr>
        <w:snapToGrid w:val="0"/>
        <w:spacing w:line="360" w:lineRule="auto"/>
        <w:ind w:left="360"/>
        <w:rPr>
          <w:rFonts w:ascii="宋体" w:hAnsi="宋体"/>
          <w:snapToGrid w:val="0"/>
          <w:color w:val="auto"/>
          <w:kern w:val="0"/>
          <w:szCs w:val="21"/>
          <w:highlight w:val="none"/>
        </w:rPr>
      </w:pPr>
      <w:r>
        <w:rPr>
          <w:rFonts w:hint="eastAsia" w:ascii="宋体" w:hAnsi="宋体"/>
          <w:snapToGrid w:val="0"/>
          <w:color w:val="auto"/>
          <w:kern w:val="0"/>
          <w:szCs w:val="21"/>
          <w:highlight w:val="none"/>
        </w:rPr>
        <w:t>海拔高度：≤</w:t>
      </w:r>
      <w:r>
        <w:rPr>
          <w:rFonts w:ascii="宋体" w:hAnsi="宋体"/>
          <w:snapToGrid w:val="0"/>
          <w:color w:val="auto"/>
          <w:kern w:val="0"/>
          <w:szCs w:val="21"/>
          <w:highlight w:val="none"/>
        </w:rPr>
        <w:t>1500m</w:t>
      </w:r>
      <w:r>
        <w:rPr>
          <w:rFonts w:hint="eastAsia" w:ascii="宋体" w:hAnsi="宋体"/>
          <w:snapToGrid w:val="0"/>
          <w:color w:val="auto"/>
          <w:kern w:val="0"/>
          <w:szCs w:val="21"/>
          <w:highlight w:val="none"/>
        </w:rPr>
        <w:t>；</w:t>
      </w:r>
    </w:p>
    <w:p>
      <w:pPr>
        <w:snapToGrid w:val="0"/>
        <w:spacing w:line="360" w:lineRule="auto"/>
        <w:ind w:left="360"/>
        <w:rPr>
          <w:rFonts w:ascii="宋体" w:hAnsi="宋体"/>
          <w:snapToGrid w:val="0"/>
          <w:color w:val="auto"/>
          <w:kern w:val="0"/>
          <w:szCs w:val="21"/>
          <w:highlight w:val="none"/>
        </w:rPr>
      </w:pPr>
      <w:r>
        <w:rPr>
          <w:rFonts w:hint="eastAsia" w:ascii="宋体" w:hAnsi="宋体"/>
          <w:snapToGrid w:val="0"/>
          <w:color w:val="auto"/>
          <w:kern w:val="0"/>
          <w:szCs w:val="21"/>
          <w:highlight w:val="none"/>
        </w:rPr>
        <w:t>污秽等级：Ⅳ级；</w:t>
      </w:r>
    </w:p>
    <w:p>
      <w:pPr>
        <w:snapToGrid w:val="0"/>
        <w:spacing w:line="360" w:lineRule="auto"/>
        <w:ind w:left="360"/>
        <w:rPr>
          <w:rFonts w:ascii="宋体" w:hAnsi="宋体"/>
          <w:snapToGrid w:val="0"/>
          <w:color w:val="auto"/>
          <w:kern w:val="0"/>
          <w:szCs w:val="21"/>
          <w:highlight w:val="none"/>
        </w:rPr>
      </w:pPr>
      <w:r>
        <w:rPr>
          <w:rFonts w:hint="eastAsia" w:ascii="宋体" w:hAnsi="宋体"/>
          <w:snapToGrid w:val="0"/>
          <w:color w:val="auto"/>
          <w:kern w:val="0"/>
          <w:szCs w:val="21"/>
          <w:highlight w:val="none"/>
        </w:rPr>
        <w:t>雷害等级：中雷区；</w:t>
      </w:r>
    </w:p>
    <w:p>
      <w:pPr>
        <w:snapToGrid w:val="0"/>
        <w:spacing w:line="360" w:lineRule="auto"/>
        <w:ind w:left="360"/>
        <w:rPr>
          <w:rFonts w:ascii="宋体" w:hAnsi="宋体"/>
          <w:snapToGrid w:val="0"/>
          <w:color w:val="auto"/>
          <w:kern w:val="0"/>
          <w:szCs w:val="21"/>
          <w:highlight w:val="none"/>
        </w:rPr>
      </w:pPr>
      <w:r>
        <w:rPr>
          <w:rFonts w:hint="eastAsia" w:ascii="宋体" w:hAnsi="宋体"/>
          <w:snapToGrid w:val="0"/>
          <w:color w:val="auto"/>
          <w:kern w:val="0"/>
          <w:szCs w:val="21"/>
          <w:highlight w:val="none"/>
        </w:rPr>
        <w:t>安装位置：户内安装。</w:t>
      </w:r>
    </w:p>
    <w:p>
      <w:pPr>
        <w:pStyle w:val="3"/>
        <w:rPr>
          <w:rFonts w:ascii="宋体" w:hAnsi="宋体"/>
          <w:color w:val="auto"/>
          <w:szCs w:val="21"/>
          <w:highlight w:val="none"/>
        </w:rPr>
      </w:pPr>
      <w:bookmarkStart w:id="163" w:name="_Toc429321061"/>
      <w:bookmarkStart w:id="164" w:name="_Toc463790494"/>
      <w:r>
        <w:rPr>
          <w:rFonts w:hint="eastAsia" w:ascii="宋体" w:hAnsi="宋体"/>
          <w:color w:val="auto"/>
          <w:szCs w:val="21"/>
          <w:highlight w:val="none"/>
        </w:rPr>
        <w:t>5  技术参数及要求</w:t>
      </w:r>
      <w:bookmarkEnd w:id="162"/>
      <w:bookmarkEnd w:id="163"/>
      <w:bookmarkEnd w:id="164"/>
    </w:p>
    <w:p>
      <w:pPr>
        <w:numPr>
          <w:ilvl w:val="0"/>
          <w:numId w:val="33"/>
        </w:numPr>
        <w:spacing w:line="360" w:lineRule="auto"/>
        <w:rPr>
          <w:rFonts w:ascii="宋体" w:hAnsi="宋体"/>
          <w:color w:val="auto"/>
          <w:szCs w:val="21"/>
          <w:highlight w:val="none"/>
        </w:rPr>
      </w:pPr>
      <w:r>
        <w:rPr>
          <w:rFonts w:hint="eastAsia" w:ascii="宋体" w:hAnsi="宋体"/>
          <w:color w:val="auto"/>
          <w:szCs w:val="21"/>
          <w:highlight w:val="none"/>
        </w:rPr>
        <w:t>静止无功发生器</w:t>
      </w:r>
    </w:p>
    <w:p>
      <w:pPr>
        <w:numPr>
          <w:ilvl w:val="0"/>
          <w:numId w:val="34"/>
        </w:numPr>
        <w:spacing w:line="360" w:lineRule="auto"/>
        <w:rPr>
          <w:rFonts w:ascii="宋体" w:hAnsi="宋体"/>
          <w:color w:val="auto"/>
          <w:szCs w:val="21"/>
          <w:highlight w:val="none"/>
        </w:rPr>
      </w:pPr>
      <w:r>
        <w:rPr>
          <w:rFonts w:hint="eastAsia" w:ascii="宋体" w:hAnsi="宋体"/>
          <w:color w:val="auto"/>
          <w:szCs w:val="21"/>
          <w:highlight w:val="none"/>
        </w:rPr>
        <w:t>静止无功发生器的</w:t>
      </w:r>
      <w:r>
        <w:rPr>
          <w:rFonts w:ascii="宋体" w:hAnsi="宋体"/>
          <w:color w:val="auto"/>
          <w:szCs w:val="21"/>
          <w:highlight w:val="none"/>
        </w:rPr>
        <w:t>额定容量</w:t>
      </w:r>
      <w:r>
        <w:rPr>
          <w:rFonts w:hint="eastAsia" w:ascii="宋体" w:hAnsi="宋体"/>
          <w:color w:val="auto"/>
          <w:szCs w:val="21"/>
          <w:highlight w:val="none"/>
        </w:rPr>
        <w:t>见</w:t>
      </w:r>
      <w:r>
        <w:rPr>
          <w:rFonts w:ascii="宋体" w:hAnsi="宋体"/>
          <w:color w:val="auto"/>
          <w:szCs w:val="21"/>
          <w:highlight w:val="none"/>
        </w:rPr>
        <w:t>表</w:t>
      </w:r>
      <w:r>
        <w:rPr>
          <w:rFonts w:hint="eastAsia" w:ascii="宋体" w:hAnsi="宋体"/>
          <w:color w:val="auto"/>
          <w:szCs w:val="21"/>
          <w:highlight w:val="none"/>
        </w:rPr>
        <w:t>1</w:t>
      </w:r>
      <w:r>
        <w:rPr>
          <w:rFonts w:ascii="宋体" w:hAnsi="宋体"/>
          <w:color w:val="auto"/>
          <w:szCs w:val="21"/>
          <w:highlight w:val="none"/>
        </w:rPr>
        <w:t>。</w:t>
      </w:r>
    </w:p>
    <w:p>
      <w:pPr>
        <w:pStyle w:val="37"/>
        <w:spacing w:line="360" w:lineRule="auto"/>
        <w:ind w:firstLine="0" w:firstLineChars="0"/>
        <w:jc w:val="center"/>
        <w:rPr>
          <w:rFonts w:hAnsi="宋体"/>
          <w:color w:val="auto"/>
          <w:sz w:val="21"/>
          <w:szCs w:val="21"/>
          <w:highlight w:val="none"/>
        </w:rPr>
      </w:pPr>
      <w:r>
        <w:rPr>
          <w:rFonts w:hAnsi="宋体"/>
          <w:color w:val="auto"/>
          <w:sz w:val="21"/>
          <w:szCs w:val="21"/>
          <w:highlight w:val="none"/>
        </w:rPr>
        <w:t>表</w:t>
      </w:r>
      <w:r>
        <w:rPr>
          <w:rFonts w:hint="eastAsia" w:hAnsi="宋体"/>
          <w:color w:val="auto"/>
          <w:sz w:val="21"/>
          <w:szCs w:val="21"/>
          <w:highlight w:val="none"/>
        </w:rPr>
        <w:t>1</w:t>
      </w:r>
      <w:r>
        <w:rPr>
          <w:rFonts w:hAnsi="宋体"/>
          <w:color w:val="auto"/>
          <w:sz w:val="21"/>
          <w:szCs w:val="21"/>
          <w:highlight w:val="none"/>
        </w:rPr>
        <w:t xml:space="preserve">  </w:t>
      </w:r>
      <w:r>
        <w:rPr>
          <w:rFonts w:hint="eastAsia" w:hAnsi="宋体"/>
          <w:color w:val="auto"/>
          <w:sz w:val="21"/>
          <w:szCs w:val="21"/>
          <w:highlight w:val="none"/>
        </w:rPr>
        <w:t>400</w:t>
      </w:r>
      <w:r>
        <w:rPr>
          <w:rFonts w:hAnsi="宋体"/>
          <w:color w:val="auto"/>
          <w:sz w:val="21"/>
          <w:szCs w:val="21"/>
          <w:highlight w:val="none"/>
        </w:rPr>
        <w:t xml:space="preserve">V电压等级选型容量   </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8"/>
        <w:gridCol w:w="950"/>
        <w:gridCol w:w="950"/>
        <w:gridCol w:w="9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098"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单机容量</w:t>
            </w:r>
          </w:p>
        </w:tc>
        <w:tc>
          <w:tcPr>
            <w:tcW w:w="950" w:type="dxa"/>
            <w:vAlign w:val="center"/>
          </w:tcPr>
          <w:p>
            <w:pPr>
              <w:shd w:val="solid" w:color="FFFFFF" w:fill="auto"/>
              <w:autoSpaceDN w:val="0"/>
              <w:jc w:val="center"/>
              <w:rPr>
                <w:rFonts w:ascii="宋体" w:hAnsi="宋体"/>
                <w:color w:val="auto"/>
                <w:szCs w:val="21"/>
                <w:highlight w:val="none"/>
              </w:rPr>
            </w:pPr>
            <w:r>
              <w:rPr>
                <w:rFonts w:hint="eastAsia" w:ascii="宋体" w:hAnsi="宋体"/>
                <w:color w:val="auto"/>
                <w:szCs w:val="21"/>
                <w:highlight w:val="none"/>
              </w:rPr>
              <w:t>30kvar</w:t>
            </w:r>
          </w:p>
          <w:p>
            <w:pPr>
              <w:shd w:val="solid" w:color="FFFFFF" w:fill="auto"/>
              <w:autoSpaceDN w:val="0"/>
              <w:jc w:val="center"/>
              <w:rPr>
                <w:rFonts w:ascii="宋体" w:hAnsi="宋体"/>
                <w:color w:val="auto"/>
                <w:szCs w:val="21"/>
                <w:highlight w:val="none"/>
              </w:rPr>
            </w:pPr>
          </w:p>
        </w:tc>
        <w:tc>
          <w:tcPr>
            <w:tcW w:w="950" w:type="dxa"/>
            <w:vAlign w:val="center"/>
          </w:tcPr>
          <w:p>
            <w:pPr>
              <w:shd w:val="solid" w:color="FFFFFF" w:fill="auto"/>
              <w:autoSpaceDN w:val="0"/>
              <w:jc w:val="center"/>
              <w:rPr>
                <w:rFonts w:ascii="宋体" w:hAnsi="宋体"/>
                <w:color w:val="auto"/>
                <w:szCs w:val="21"/>
                <w:highlight w:val="none"/>
              </w:rPr>
            </w:pPr>
            <w:r>
              <w:rPr>
                <w:rFonts w:hint="eastAsia" w:ascii="宋体" w:hAnsi="宋体"/>
                <w:color w:val="auto"/>
                <w:szCs w:val="21"/>
                <w:highlight w:val="none"/>
              </w:rPr>
              <w:t>50kvar</w:t>
            </w:r>
          </w:p>
          <w:p>
            <w:pPr>
              <w:shd w:val="solid" w:color="FFFFFF" w:fill="auto"/>
              <w:autoSpaceDN w:val="0"/>
              <w:jc w:val="center"/>
              <w:rPr>
                <w:rFonts w:ascii="宋体" w:hAnsi="宋体"/>
                <w:color w:val="auto"/>
                <w:szCs w:val="21"/>
                <w:highlight w:val="none"/>
              </w:rPr>
            </w:pPr>
          </w:p>
        </w:tc>
        <w:tc>
          <w:tcPr>
            <w:tcW w:w="950" w:type="dxa"/>
            <w:vAlign w:val="center"/>
          </w:tcPr>
          <w:p>
            <w:pPr>
              <w:shd w:val="solid" w:color="FFFFFF" w:fill="auto"/>
              <w:autoSpaceDN w:val="0"/>
              <w:jc w:val="center"/>
              <w:rPr>
                <w:rFonts w:ascii="宋体" w:hAnsi="宋体"/>
                <w:color w:val="auto"/>
                <w:szCs w:val="21"/>
                <w:highlight w:val="none"/>
              </w:rPr>
            </w:pPr>
            <w:r>
              <w:rPr>
                <w:rFonts w:hint="eastAsia" w:ascii="宋体" w:hAnsi="宋体"/>
                <w:color w:val="auto"/>
                <w:szCs w:val="21"/>
                <w:highlight w:val="none"/>
              </w:rPr>
              <w:t>100kvar</w:t>
            </w:r>
          </w:p>
        </w:tc>
      </w:tr>
    </w:tbl>
    <w:p>
      <w:pPr>
        <w:pStyle w:val="37"/>
        <w:spacing w:line="360" w:lineRule="auto"/>
        <w:ind w:firstLine="0" w:firstLineChars="0"/>
        <w:jc w:val="center"/>
        <w:rPr>
          <w:rFonts w:hAnsi="宋体"/>
          <w:color w:val="auto"/>
          <w:sz w:val="21"/>
          <w:szCs w:val="21"/>
          <w:highlight w:val="none"/>
        </w:rPr>
      </w:pPr>
      <w:r>
        <w:rPr>
          <w:rFonts w:hAnsi="宋体"/>
          <w:color w:val="auto"/>
          <w:sz w:val="21"/>
          <w:szCs w:val="21"/>
          <w:highlight w:val="none"/>
        </w:rPr>
        <w:t xml:space="preserve">            </w:t>
      </w:r>
    </w:p>
    <w:p>
      <w:pPr>
        <w:numPr>
          <w:ilvl w:val="0"/>
          <w:numId w:val="34"/>
        </w:numPr>
        <w:spacing w:line="360" w:lineRule="auto"/>
        <w:rPr>
          <w:rFonts w:ascii="宋体" w:hAnsi="宋体"/>
          <w:color w:val="auto"/>
          <w:szCs w:val="21"/>
          <w:highlight w:val="none"/>
        </w:rPr>
      </w:pPr>
      <w:r>
        <w:rPr>
          <w:rFonts w:hint="eastAsia" w:ascii="宋体" w:hAnsi="宋体"/>
          <w:color w:val="auto"/>
          <w:szCs w:val="21"/>
          <w:highlight w:val="none"/>
        </w:rPr>
        <w:t>静止无功发生器的技术参数</w:t>
      </w:r>
      <w:r>
        <w:rPr>
          <w:rFonts w:ascii="宋体" w:hAnsi="宋体"/>
          <w:color w:val="auto"/>
          <w:szCs w:val="21"/>
          <w:highlight w:val="none"/>
        </w:rPr>
        <w:t>见表</w:t>
      </w:r>
      <w:r>
        <w:rPr>
          <w:rFonts w:hint="eastAsia" w:ascii="宋体" w:hAnsi="宋体"/>
          <w:color w:val="auto"/>
          <w:szCs w:val="21"/>
          <w:highlight w:val="none"/>
        </w:rPr>
        <w:t>2</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4"/>
        <w:gridCol w:w="84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9650" w:type="dxa"/>
            <w:gridSpan w:val="2"/>
            <w:shd w:val="clear" w:color="auto" w:fill="80C588"/>
            <w:vAlign w:val="center"/>
          </w:tcPr>
          <w:p>
            <w:pPr>
              <w:jc w:val="center"/>
              <w:rPr>
                <w:rFonts w:ascii="宋体" w:hAnsi="宋体"/>
                <w:b/>
                <w:color w:val="auto"/>
                <w:szCs w:val="21"/>
                <w:highlight w:val="none"/>
              </w:rPr>
            </w:pPr>
            <w:r>
              <w:rPr>
                <w:rFonts w:hint="eastAsia" w:ascii="宋体" w:hAnsi="宋体"/>
                <w:b/>
                <w:color w:val="auto"/>
                <w:szCs w:val="21"/>
                <w:highlight w:val="none"/>
              </w:rPr>
              <w:t>主要技术指标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电压等级</w:t>
            </w:r>
          </w:p>
        </w:tc>
        <w:tc>
          <w:tcPr>
            <w:tcW w:w="8406" w:type="dxa"/>
            <w:vAlign w:val="center"/>
          </w:tcPr>
          <w:p>
            <w:pPr>
              <w:shd w:val="solid" w:color="FFFFFF" w:fill="auto"/>
              <w:autoSpaceDN w:val="0"/>
              <w:jc w:val="center"/>
              <w:rPr>
                <w:rFonts w:ascii="宋体" w:hAnsi="宋体"/>
                <w:color w:val="auto"/>
                <w:szCs w:val="21"/>
                <w:highlight w:val="none"/>
              </w:rPr>
            </w:pPr>
            <w:r>
              <w:rPr>
                <w:rFonts w:hint="eastAsia" w:ascii="宋体" w:hAnsi="宋体"/>
                <w:color w:val="auto"/>
                <w:szCs w:val="21"/>
                <w:highlight w:val="none"/>
              </w:rPr>
              <w:t>220V</w:t>
            </w:r>
            <w:r>
              <w:rPr>
                <w:rFonts w:hint="eastAsia" w:ascii="宋体" w:hAnsi="宋体"/>
                <w:color w:val="auto"/>
                <w:szCs w:val="21"/>
                <w:highlight w:val="none"/>
              </w:rPr>
              <w:t xml:space="preserve"> / </w:t>
            </w:r>
            <w:r>
              <w:rPr>
                <w:rFonts w:hint="eastAsia" w:ascii="宋体" w:hAnsi="宋体"/>
                <w:color w:val="auto"/>
                <w:szCs w:val="21"/>
                <w:highlight w:val="none"/>
              </w:rPr>
              <w:t>380V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输入电压</w:t>
            </w:r>
          </w:p>
        </w:tc>
        <w:tc>
          <w:tcPr>
            <w:tcW w:w="8406" w:type="dxa"/>
            <w:vAlign w:val="center"/>
          </w:tcPr>
          <w:p>
            <w:pPr>
              <w:jc w:val="center"/>
              <w:rPr>
                <w:rFonts w:ascii="宋体" w:hAnsi="宋体"/>
                <w:color w:val="auto"/>
                <w:szCs w:val="21"/>
                <w:highlight w:val="none"/>
              </w:rPr>
            </w:pPr>
            <w:r>
              <w:rPr>
                <w:rFonts w:hint="eastAsia" w:ascii="宋体" w:hAnsi="宋体"/>
                <w:color w:val="auto"/>
                <w:szCs w:val="21"/>
                <w:highlight w:val="none"/>
              </w:rPr>
              <w:t>400V（-30% ～ +20%）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电网频率</w:t>
            </w:r>
          </w:p>
        </w:tc>
        <w:tc>
          <w:tcPr>
            <w:tcW w:w="8406" w:type="dxa"/>
            <w:vAlign w:val="center"/>
          </w:tcPr>
          <w:p>
            <w:pPr>
              <w:shd w:val="solid" w:color="FFFFFF" w:fill="auto"/>
              <w:autoSpaceDN w:val="0"/>
              <w:jc w:val="center"/>
              <w:rPr>
                <w:rFonts w:ascii="宋体" w:hAnsi="宋体"/>
                <w:color w:val="auto"/>
                <w:szCs w:val="21"/>
                <w:highlight w:val="none"/>
              </w:rPr>
            </w:pPr>
            <w:r>
              <w:rPr>
                <w:rFonts w:ascii="宋体" w:hAnsi="宋体"/>
                <w:snapToGrid w:val="0"/>
                <w:color w:val="auto"/>
                <w:szCs w:val="21"/>
                <w:highlight w:val="none"/>
              </w:rPr>
              <w:t>50/60</w:t>
            </w:r>
            <w:r>
              <w:rPr>
                <w:rFonts w:hint="eastAsia" w:ascii="宋体" w:hAnsi="宋体"/>
                <w:color w:val="auto"/>
                <w:szCs w:val="21"/>
                <w:highlight w:val="none"/>
              </w:rPr>
              <w:t xml:space="preserve"> Hz（-5% ～ +5%）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接线方式</w:t>
            </w:r>
          </w:p>
        </w:tc>
        <w:tc>
          <w:tcPr>
            <w:tcW w:w="8406" w:type="dxa"/>
            <w:vAlign w:val="center"/>
          </w:tcPr>
          <w:p>
            <w:pPr>
              <w:jc w:val="center"/>
              <w:rPr>
                <w:rFonts w:ascii="宋体" w:hAnsi="宋体"/>
                <w:color w:val="auto"/>
                <w:szCs w:val="21"/>
                <w:highlight w:val="none"/>
              </w:rPr>
            </w:pPr>
            <w:r>
              <w:rPr>
                <w:rFonts w:hint="eastAsia" w:ascii="宋体" w:hAnsi="宋体"/>
                <w:color w:val="auto"/>
                <w:szCs w:val="21"/>
                <w:highlight w:val="none"/>
              </w:rPr>
              <w:t>三相三线，三相四线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ascii="宋体" w:hAnsi="宋体"/>
                <w:b/>
                <w:color w:val="auto"/>
                <w:szCs w:val="21"/>
                <w:highlight w:val="none"/>
                <w:shd w:val="clear" w:color="auto" w:fill="FFFFFF"/>
              </w:rPr>
              <w:t>CT变比</w:t>
            </w:r>
          </w:p>
        </w:tc>
        <w:tc>
          <w:tcPr>
            <w:tcW w:w="8406" w:type="dxa"/>
            <w:vAlign w:val="center"/>
          </w:tcPr>
          <w:p>
            <w:pPr>
              <w:shd w:val="solid" w:color="FFFFFF" w:fill="auto"/>
              <w:autoSpaceDN w:val="0"/>
              <w:jc w:val="center"/>
              <w:rPr>
                <w:rFonts w:ascii="宋体" w:hAnsi="宋体"/>
                <w:snapToGrid w:val="0"/>
                <w:color w:val="auto"/>
                <w:szCs w:val="21"/>
                <w:highlight w:val="none"/>
              </w:rPr>
            </w:pPr>
            <w:r>
              <w:rPr>
                <w:rFonts w:hint="eastAsia" w:ascii="宋体" w:hAnsi="宋体"/>
                <w:snapToGrid w:val="0"/>
                <w:color w:val="auto"/>
                <w:szCs w:val="21"/>
                <w:highlight w:val="none"/>
              </w:rPr>
              <w:t xml:space="preserve">100/5 </w:t>
            </w:r>
            <w:r>
              <w:rPr>
                <w:rFonts w:hint="eastAsia" w:ascii="宋体" w:hAnsi="宋体"/>
                <w:color w:val="auto"/>
                <w:szCs w:val="21"/>
                <w:highlight w:val="none"/>
              </w:rPr>
              <w:t>～ 10000/5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并机台数</w:t>
            </w:r>
          </w:p>
        </w:tc>
        <w:tc>
          <w:tcPr>
            <w:tcW w:w="8406" w:type="dxa"/>
            <w:vAlign w:val="center"/>
          </w:tcPr>
          <w:p>
            <w:pPr>
              <w:shd w:val="solid" w:color="FFFFFF" w:fill="auto"/>
              <w:autoSpaceDN w:val="0"/>
              <w:jc w:val="center"/>
              <w:rPr>
                <w:rFonts w:ascii="宋体" w:hAnsi="宋体"/>
                <w:color w:val="auto"/>
                <w:szCs w:val="21"/>
                <w:highlight w:val="none"/>
              </w:rPr>
            </w:pPr>
            <w:r>
              <w:rPr>
                <w:rFonts w:hint="eastAsia" w:ascii="宋体" w:hAnsi="宋体"/>
                <w:color w:val="auto"/>
                <w:szCs w:val="21"/>
                <w:highlight w:val="none"/>
              </w:rPr>
              <w:t>不限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电路拓扑</w:t>
            </w:r>
          </w:p>
        </w:tc>
        <w:tc>
          <w:tcPr>
            <w:tcW w:w="8406" w:type="dxa"/>
            <w:vAlign w:val="center"/>
          </w:tcPr>
          <w:p>
            <w:pPr>
              <w:shd w:val="solid" w:color="FFFFFF" w:fill="auto"/>
              <w:autoSpaceDN w:val="0"/>
              <w:jc w:val="center"/>
              <w:rPr>
                <w:rFonts w:ascii="宋体" w:hAnsi="宋体"/>
                <w:color w:val="auto"/>
                <w:szCs w:val="21"/>
                <w:highlight w:val="none"/>
              </w:rPr>
            </w:pPr>
            <w:r>
              <w:rPr>
                <w:rFonts w:hint="eastAsia" w:ascii="宋体" w:hAnsi="宋体"/>
                <w:color w:val="auto"/>
                <w:szCs w:val="21"/>
                <w:highlight w:val="none"/>
              </w:rPr>
              <w:t>三电平拓扑结构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整机效率</w:t>
            </w:r>
          </w:p>
        </w:tc>
        <w:tc>
          <w:tcPr>
            <w:tcW w:w="8406" w:type="dxa"/>
            <w:vAlign w:val="center"/>
          </w:tcPr>
          <w:p>
            <w:pPr>
              <w:shd w:val="solid" w:color="FFFFFF" w:fill="auto"/>
              <w:autoSpaceDN w:val="0"/>
              <w:jc w:val="center"/>
              <w:rPr>
                <w:rFonts w:ascii="宋体" w:hAnsi="宋体"/>
                <w:color w:val="auto"/>
                <w:szCs w:val="21"/>
                <w:highlight w:val="none"/>
              </w:rPr>
            </w:pPr>
            <w:r>
              <w:rPr>
                <w:rFonts w:hint="eastAsia" w:ascii="宋体" w:hAnsi="宋体"/>
                <w:color w:val="auto"/>
                <w:szCs w:val="21"/>
                <w:highlight w:val="none"/>
              </w:rPr>
              <w:t>＞</w:t>
            </w:r>
            <w:r>
              <w:rPr>
                <w:rFonts w:hint="eastAsia" w:ascii="宋体" w:hAnsi="宋体"/>
                <w:color w:val="auto"/>
                <w:szCs w:val="21"/>
                <w:highlight w:val="none"/>
              </w:rPr>
              <w:t xml:space="preserve"> 97</w:t>
            </w:r>
            <w:r>
              <w:rPr>
                <w:rFonts w:ascii="宋体" w:hAnsi="宋体"/>
                <w:color w:val="auto"/>
                <w:szCs w:val="21"/>
                <w:highlight w:val="none"/>
              </w:rPr>
              <w:t>.5</w:t>
            </w:r>
            <w:r>
              <w:rPr>
                <w:rFonts w:hint="eastAsia" w:ascii="宋体" w:hAnsi="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补偿范围</w:t>
            </w:r>
          </w:p>
        </w:tc>
        <w:tc>
          <w:tcPr>
            <w:tcW w:w="8406" w:type="dxa"/>
            <w:vAlign w:val="center"/>
          </w:tcPr>
          <w:p>
            <w:pPr>
              <w:shd w:val="solid" w:color="FFFFFF" w:fill="auto"/>
              <w:autoSpaceDN w:val="0"/>
              <w:jc w:val="center"/>
              <w:rPr>
                <w:rFonts w:ascii="宋体" w:hAnsi="宋体"/>
                <w:color w:val="auto"/>
                <w:szCs w:val="21"/>
                <w:highlight w:val="none"/>
              </w:rPr>
            </w:pPr>
            <w:r>
              <w:rPr>
                <w:rFonts w:ascii="宋体" w:hAnsi="宋体"/>
                <w:color w:val="auto"/>
                <w:szCs w:val="21"/>
                <w:highlight w:val="none"/>
              </w:rPr>
              <w:t>-</w:t>
            </w:r>
            <w:r>
              <w:rPr>
                <w:rFonts w:hint="eastAsia" w:ascii="宋体" w:hAnsi="宋体"/>
                <w:color w:val="auto"/>
                <w:szCs w:val="21"/>
                <w:highlight w:val="none"/>
              </w:rPr>
              <w:t>1 ～ +1（</w:t>
            </w:r>
            <w:r>
              <w:rPr>
                <w:rFonts w:ascii="宋体" w:hAnsi="宋体"/>
                <w:color w:val="auto"/>
                <w:szCs w:val="21"/>
                <w:highlight w:val="none"/>
              </w:rPr>
              <w:t>连续可调</w:t>
            </w:r>
            <w:r>
              <w:rPr>
                <w:rFonts w:hint="eastAsia" w:ascii="宋体" w:hAnsi="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滤波能力</w:t>
            </w:r>
          </w:p>
        </w:tc>
        <w:tc>
          <w:tcPr>
            <w:tcW w:w="8406" w:type="dxa"/>
            <w:vAlign w:val="center"/>
          </w:tcPr>
          <w:p>
            <w:pPr>
              <w:shd w:val="solid" w:color="FFFFFF" w:fill="auto"/>
              <w:autoSpaceDN w:val="0"/>
              <w:jc w:val="center"/>
              <w:rPr>
                <w:rFonts w:ascii="宋体" w:hAnsi="宋体"/>
                <w:color w:val="auto"/>
                <w:szCs w:val="21"/>
                <w:highlight w:val="none"/>
              </w:rPr>
            </w:pPr>
            <w:r>
              <w:rPr>
                <w:rFonts w:hint="eastAsia" w:ascii="宋体" w:hAnsi="宋体"/>
                <w:color w:val="auto"/>
                <w:szCs w:val="21"/>
                <w:highlight w:val="none"/>
              </w:rPr>
              <w:t>＞</w:t>
            </w:r>
            <w:r>
              <w:rPr>
                <w:rFonts w:hint="eastAsia" w:ascii="宋体" w:hAnsi="宋体"/>
                <w:color w:val="auto"/>
                <w:szCs w:val="21"/>
                <w:highlight w:val="none"/>
              </w:rPr>
              <w:t xml:space="preserve"> 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自动限流</w:t>
            </w:r>
          </w:p>
        </w:tc>
        <w:tc>
          <w:tcPr>
            <w:tcW w:w="8406" w:type="dxa"/>
            <w:vAlign w:val="center"/>
          </w:tcPr>
          <w:p>
            <w:pPr>
              <w:jc w:val="center"/>
              <w:rPr>
                <w:rFonts w:ascii="宋体" w:hAnsi="宋体"/>
                <w:color w:val="auto"/>
                <w:szCs w:val="21"/>
                <w:highlight w:val="none"/>
              </w:rPr>
            </w:pPr>
            <w:r>
              <w:rPr>
                <w:rFonts w:hint="eastAsia" w:ascii="宋体" w:hAnsi="宋体"/>
                <w:color w:val="auto"/>
                <w:szCs w:val="21"/>
                <w:highlight w:val="none"/>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智能保护</w:t>
            </w:r>
          </w:p>
        </w:tc>
        <w:tc>
          <w:tcPr>
            <w:tcW w:w="8406" w:type="dxa"/>
            <w:vAlign w:val="center"/>
          </w:tcPr>
          <w:p>
            <w:pPr>
              <w:jc w:val="center"/>
              <w:rPr>
                <w:rFonts w:ascii="宋体" w:hAnsi="宋体"/>
                <w:color w:val="auto"/>
                <w:szCs w:val="21"/>
                <w:highlight w:val="none"/>
                <w:shd w:val="clear" w:color="auto" w:fill="FFFFFF"/>
              </w:rPr>
            </w:pPr>
            <w:r>
              <w:rPr>
                <w:rFonts w:hint="eastAsia" w:ascii="宋体" w:hAnsi="宋体"/>
                <w:color w:val="auto"/>
                <w:szCs w:val="21"/>
                <w:highlight w:val="none"/>
                <w:shd w:val="clear" w:color="auto" w:fill="FFFFFF"/>
              </w:rPr>
              <w:t>开机自检，过流保护，过压保护，欠压保护，IGBT保护及过热保护等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开关频率</w:t>
            </w:r>
          </w:p>
        </w:tc>
        <w:tc>
          <w:tcPr>
            <w:tcW w:w="8406" w:type="dxa"/>
            <w:vAlign w:val="center"/>
          </w:tcPr>
          <w:p>
            <w:pPr>
              <w:shd w:val="solid" w:color="FFFFFF" w:fill="auto"/>
              <w:autoSpaceDN w:val="0"/>
              <w:jc w:val="center"/>
              <w:rPr>
                <w:rFonts w:ascii="宋体" w:hAnsi="宋体"/>
                <w:color w:val="auto"/>
                <w:szCs w:val="21"/>
                <w:highlight w:val="none"/>
              </w:rPr>
            </w:pPr>
            <w:r>
              <w:rPr>
                <w:rFonts w:hint="eastAsia" w:ascii="宋体" w:hAnsi="宋体"/>
                <w:color w:val="auto"/>
                <w:szCs w:val="21"/>
                <w:highlight w:val="none"/>
              </w:rPr>
              <w:t>6.4 ～ 25.6kHz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响应时间</w:t>
            </w:r>
          </w:p>
        </w:tc>
        <w:tc>
          <w:tcPr>
            <w:tcW w:w="8406" w:type="dxa"/>
            <w:vAlign w:val="center"/>
          </w:tcPr>
          <w:p>
            <w:pPr>
              <w:shd w:val="solid" w:color="FFFFFF" w:fill="auto"/>
              <w:autoSpaceDN w:val="0"/>
              <w:jc w:val="center"/>
              <w:rPr>
                <w:rFonts w:ascii="宋体" w:hAnsi="宋体"/>
                <w:color w:val="auto"/>
                <w:szCs w:val="21"/>
                <w:highlight w:val="none"/>
              </w:rPr>
            </w:pPr>
            <w:r>
              <w:rPr>
                <w:rFonts w:hint="eastAsia" w:ascii="宋体" w:hAnsi="宋体"/>
                <w:color w:val="auto"/>
                <w:szCs w:val="21"/>
                <w:highlight w:val="none"/>
              </w:rPr>
              <w:t>＜</w:t>
            </w:r>
            <w:r>
              <w:rPr>
                <w:rFonts w:hint="eastAsia" w:ascii="宋体" w:hAnsi="宋体"/>
                <w:color w:val="auto"/>
                <w:szCs w:val="21"/>
                <w:highlight w:val="none"/>
              </w:rPr>
              <w:t xml:space="preserve"> 10ms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冷却方式</w:t>
            </w:r>
          </w:p>
        </w:tc>
        <w:tc>
          <w:tcPr>
            <w:tcW w:w="8406" w:type="dxa"/>
            <w:vAlign w:val="center"/>
          </w:tcPr>
          <w:p>
            <w:pPr>
              <w:autoSpaceDN w:val="0"/>
              <w:jc w:val="center"/>
              <w:rPr>
                <w:rFonts w:ascii="宋体" w:hAnsi="宋体"/>
                <w:color w:val="auto"/>
                <w:szCs w:val="21"/>
                <w:highlight w:val="none"/>
              </w:rPr>
            </w:pPr>
            <w:r>
              <w:rPr>
                <w:rFonts w:hint="eastAsia" w:ascii="宋体" w:hAnsi="宋体"/>
                <w:color w:val="auto"/>
                <w:szCs w:val="21"/>
                <w:highlight w:val="none"/>
              </w:rPr>
              <w:t xml:space="preserve">机械风冷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噪音指标</w:t>
            </w:r>
          </w:p>
        </w:tc>
        <w:tc>
          <w:tcPr>
            <w:tcW w:w="8406" w:type="dxa"/>
            <w:vAlign w:val="center"/>
          </w:tcPr>
          <w:p>
            <w:pPr>
              <w:jc w:val="center"/>
              <w:rPr>
                <w:rFonts w:hint="eastAsia" w:ascii="宋体" w:hAnsi="宋体"/>
                <w:color w:val="auto"/>
                <w:szCs w:val="21"/>
                <w:highlight w:val="none"/>
              </w:rPr>
            </w:pPr>
            <w:r>
              <w:rPr>
                <w:rFonts w:hint="eastAsia" w:ascii="宋体" w:hAnsi="宋体"/>
                <w:color w:val="auto"/>
                <w:szCs w:val="21"/>
                <w:highlight w:val="none"/>
              </w:rPr>
              <w:t>＜ 50dB (满负荷运行条件下，打开柜门，距离模块1米处测量）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远程监控</w:t>
            </w:r>
          </w:p>
        </w:tc>
        <w:tc>
          <w:tcPr>
            <w:tcW w:w="8406" w:type="dxa"/>
            <w:vAlign w:val="center"/>
          </w:tcPr>
          <w:p>
            <w:pPr>
              <w:autoSpaceDN w:val="0"/>
              <w:jc w:val="center"/>
              <w:rPr>
                <w:rFonts w:ascii="宋体" w:hAnsi="宋体"/>
                <w:color w:val="auto"/>
                <w:szCs w:val="21"/>
                <w:highlight w:val="none"/>
              </w:rPr>
            </w:pPr>
            <w:r>
              <w:rPr>
                <w:rFonts w:hint="eastAsia" w:ascii="宋体" w:hAnsi="宋体"/>
                <w:color w:val="auto"/>
                <w:szCs w:val="21"/>
                <w:highlight w:val="none"/>
              </w:rPr>
              <w:t>有（选配）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通信接口</w:t>
            </w:r>
          </w:p>
        </w:tc>
        <w:tc>
          <w:tcPr>
            <w:tcW w:w="8406" w:type="dxa"/>
            <w:vAlign w:val="center"/>
          </w:tcPr>
          <w:p>
            <w:pPr>
              <w:autoSpaceDN w:val="0"/>
              <w:jc w:val="center"/>
              <w:rPr>
                <w:rFonts w:ascii="宋体" w:hAnsi="宋体"/>
                <w:color w:val="auto"/>
                <w:szCs w:val="21"/>
                <w:highlight w:val="none"/>
              </w:rPr>
            </w:pPr>
            <w:r>
              <w:rPr>
                <w:rFonts w:hint="eastAsia" w:ascii="宋体" w:hAnsi="宋体"/>
                <w:color w:val="auto"/>
                <w:szCs w:val="21"/>
                <w:highlight w:val="none"/>
              </w:rPr>
              <w:t>RS485，网口（选配）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通信协议</w:t>
            </w:r>
          </w:p>
        </w:tc>
        <w:tc>
          <w:tcPr>
            <w:tcW w:w="8406" w:type="dxa"/>
            <w:vAlign w:val="center"/>
          </w:tcPr>
          <w:p>
            <w:pPr>
              <w:autoSpaceDN w:val="0"/>
              <w:jc w:val="center"/>
              <w:rPr>
                <w:rFonts w:ascii="宋体" w:hAnsi="宋体"/>
                <w:color w:val="auto"/>
                <w:szCs w:val="21"/>
                <w:highlight w:val="none"/>
              </w:rPr>
            </w:pPr>
            <w:r>
              <w:rPr>
                <w:rFonts w:hint="eastAsia" w:ascii="宋体" w:hAnsi="宋体"/>
                <w:color w:val="auto"/>
                <w:szCs w:val="21"/>
                <w:highlight w:val="none"/>
              </w:rPr>
              <w:t>Modbus协议，TCP/IP协议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安装方式</w:t>
            </w:r>
          </w:p>
        </w:tc>
        <w:tc>
          <w:tcPr>
            <w:tcW w:w="8406" w:type="dxa"/>
            <w:vAlign w:val="center"/>
          </w:tcPr>
          <w:p>
            <w:pPr>
              <w:jc w:val="center"/>
              <w:rPr>
                <w:rFonts w:ascii="宋体" w:hAnsi="宋体"/>
                <w:color w:val="auto"/>
                <w:szCs w:val="21"/>
                <w:highlight w:val="none"/>
              </w:rPr>
            </w:pPr>
            <w:r>
              <w:rPr>
                <w:rFonts w:hint="eastAsia" w:ascii="宋体" w:hAnsi="宋体"/>
                <w:color w:val="auto"/>
                <w:szCs w:val="21"/>
                <w:highlight w:val="none"/>
              </w:rPr>
              <w:t>整柜为落地安装，模块可根据现场工况确定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进线方式</w:t>
            </w:r>
          </w:p>
        </w:tc>
        <w:tc>
          <w:tcPr>
            <w:tcW w:w="8406" w:type="dxa"/>
            <w:vAlign w:val="center"/>
          </w:tcPr>
          <w:p>
            <w:pPr>
              <w:jc w:val="center"/>
              <w:rPr>
                <w:rFonts w:ascii="宋体" w:hAnsi="宋体"/>
                <w:color w:val="auto"/>
                <w:szCs w:val="21"/>
                <w:highlight w:val="none"/>
              </w:rPr>
            </w:pPr>
            <w:r>
              <w:rPr>
                <w:rFonts w:hint="eastAsia" w:ascii="宋体" w:hAnsi="宋体"/>
                <w:color w:val="auto"/>
                <w:szCs w:val="21"/>
                <w:highlight w:val="none"/>
              </w:rPr>
              <w:t>上进线 / 下进线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尺寸（mm）</w:t>
            </w:r>
          </w:p>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rPr>
              <w:t>宽*深*高</w:t>
            </w:r>
          </w:p>
        </w:tc>
        <w:tc>
          <w:tcPr>
            <w:tcW w:w="8406" w:type="dxa"/>
            <w:vAlign w:val="center"/>
          </w:tcPr>
          <w:p>
            <w:pPr>
              <w:jc w:val="center"/>
              <w:rPr>
                <w:rFonts w:ascii="宋体" w:hAnsi="宋体"/>
                <w:color w:val="auto"/>
                <w:szCs w:val="21"/>
                <w:highlight w:val="none"/>
              </w:rPr>
            </w:pPr>
          </w:p>
          <w:p>
            <w:pPr>
              <w:jc w:val="center"/>
              <w:rPr>
                <w:rFonts w:ascii="宋体" w:hAnsi="宋体"/>
                <w:color w:val="auto"/>
                <w:szCs w:val="21"/>
                <w:highlight w:val="none"/>
              </w:rPr>
            </w:pPr>
            <w:r>
              <w:rPr>
                <w:rFonts w:hint="eastAsia" w:ascii="宋体" w:hAnsi="宋体"/>
                <w:color w:val="auto"/>
                <w:szCs w:val="21"/>
                <w:highlight w:val="none"/>
              </w:rPr>
              <w:t>整柜：800</w:t>
            </w:r>
            <w:r>
              <w:rPr>
                <w:rFonts w:ascii="宋体" w:hAnsi="宋体"/>
                <w:color w:val="auto"/>
                <w:szCs w:val="21"/>
                <w:highlight w:val="none"/>
              </w:rPr>
              <w:t>×</w:t>
            </w:r>
            <w:r>
              <w:rPr>
                <w:rFonts w:hint="eastAsia" w:ascii="宋体" w:hAnsi="宋体"/>
                <w:color w:val="auto"/>
                <w:szCs w:val="21"/>
                <w:highlight w:val="none"/>
              </w:rPr>
              <w:t>800</w:t>
            </w:r>
            <w:r>
              <w:rPr>
                <w:rFonts w:ascii="宋体" w:hAnsi="宋体"/>
                <w:color w:val="auto"/>
                <w:szCs w:val="21"/>
                <w:highlight w:val="none"/>
              </w:rPr>
              <w:t>×</w:t>
            </w:r>
            <w:r>
              <w:rPr>
                <w:rFonts w:hint="eastAsia" w:ascii="宋体" w:hAnsi="宋体"/>
                <w:color w:val="auto"/>
                <w:szCs w:val="21"/>
                <w:highlight w:val="none"/>
              </w:rPr>
              <w:t>2200；可按客户要求定制；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防护等级</w:t>
            </w:r>
          </w:p>
        </w:tc>
        <w:tc>
          <w:tcPr>
            <w:tcW w:w="8406" w:type="dxa"/>
            <w:vAlign w:val="center"/>
          </w:tcPr>
          <w:p>
            <w:pPr>
              <w:autoSpaceDN w:val="0"/>
              <w:jc w:val="center"/>
              <w:rPr>
                <w:rFonts w:ascii="宋体" w:hAnsi="宋体"/>
                <w:color w:val="auto"/>
                <w:szCs w:val="21"/>
                <w:highlight w:val="none"/>
              </w:rPr>
            </w:pPr>
            <w:r>
              <w:rPr>
                <w:rFonts w:hint="eastAsia" w:ascii="宋体" w:hAnsi="宋体"/>
                <w:color w:val="auto"/>
                <w:szCs w:val="21"/>
                <w:highlight w:val="none"/>
              </w:rPr>
              <w:t>≥IP20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工作温度</w:t>
            </w:r>
          </w:p>
        </w:tc>
        <w:tc>
          <w:tcPr>
            <w:tcW w:w="8406" w:type="dxa"/>
            <w:vAlign w:val="center"/>
          </w:tcPr>
          <w:p>
            <w:pPr>
              <w:autoSpaceDN w:val="0"/>
              <w:jc w:val="center"/>
              <w:rPr>
                <w:rFonts w:ascii="宋体" w:hAnsi="宋体"/>
                <w:color w:val="auto"/>
                <w:szCs w:val="21"/>
                <w:highlight w:val="none"/>
              </w:rPr>
            </w:pPr>
            <w:r>
              <w:rPr>
                <w:rFonts w:hint="eastAsia" w:ascii="宋体" w:hAnsi="宋体"/>
                <w:color w:val="auto"/>
                <w:szCs w:val="21"/>
                <w:highlight w:val="none"/>
              </w:rPr>
              <w:t>-15℃ ～ +40℃</w:t>
            </w:r>
            <w:r>
              <w:rPr>
                <w:rFonts w:hint="eastAsia" w:ascii="宋体" w:hAnsi="宋体"/>
                <w:color w:val="auto"/>
                <w:szCs w:val="21"/>
                <w:highlight w:val="none"/>
              </w:rPr>
              <w:t>（更高温度等级可定制）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储藏温度</w:t>
            </w:r>
          </w:p>
        </w:tc>
        <w:tc>
          <w:tcPr>
            <w:tcW w:w="8406" w:type="dxa"/>
            <w:vAlign w:val="center"/>
          </w:tcPr>
          <w:p>
            <w:pPr>
              <w:autoSpaceDN w:val="0"/>
              <w:jc w:val="center"/>
              <w:rPr>
                <w:rFonts w:ascii="宋体" w:hAnsi="宋体"/>
                <w:color w:val="auto"/>
                <w:szCs w:val="21"/>
                <w:highlight w:val="none"/>
              </w:rPr>
            </w:pPr>
            <w:r>
              <w:rPr>
                <w:rFonts w:hint="eastAsia" w:ascii="宋体" w:hAnsi="宋体"/>
                <w:color w:val="auto"/>
                <w:szCs w:val="21"/>
                <w:highlight w:val="none"/>
              </w:rPr>
              <w:t>-40℃ ～ +70℃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相对湿度</w:t>
            </w:r>
          </w:p>
        </w:tc>
        <w:tc>
          <w:tcPr>
            <w:tcW w:w="8406" w:type="dxa"/>
            <w:vAlign w:val="center"/>
          </w:tcPr>
          <w:p>
            <w:pPr>
              <w:autoSpaceDN w:val="0"/>
              <w:jc w:val="center"/>
              <w:rPr>
                <w:rFonts w:ascii="宋体" w:hAnsi="宋体"/>
                <w:color w:val="auto"/>
                <w:szCs w:val="21"/>
                <w:highlight w:val="none"/>
                <w:shd w:val="clear" w:color="auto" w:fill="FFFFFF"/>
              </w:rPr>
            </w:pPr>
            <w:r>
              <w:rPr>
                <w:rFonts w:hint="eastAsia" w:ascii="宋体" w:hAnsi="宋体"/>
                <w:snapToGrid w:val="0"/>
                <w:color w:val="auto"/>
                <w:kern w:val="0"/>
                <w:szCs w:val="21"/>
                <w:highlight w:val="none"/>
              </w:rPr>
              <w:t>日平均值不低于99%，最湿月的月平均相对湿度不大于</w:t>
            </w:r>
            <w:r>
              <w:rPr>
                <w:rFonts w:ascii="宋体" w:hAnsi="宋体"/>
                <w:snapToGrid w:val="0"/>
                <w:color w:val="auto"/>
                <w:kern w:val="0"/>
                <w:szCs w:val="21"/>
                <w:highlight w:val="none"/>
              </w:rPr>
              <w:t>9</w:t>
            </w:r>
            <w:r>
              <w:rPr>
                <w:rFonts w:hint="eastAsia" w:ascii="宋体" w:hAnsi="宋体"/>
                <w:snapToGrid w:val="0"/>
                <w:color w:val="auto"/>
                <w:kern w:val="0"/>
                <w:szCs w:val="21"/>
                <w:highlight w:val="none"/>
              </w:rPr>
              <w:t>5</w:t>
            </w:r>
            <w:r>
              <w:rPr>
                <w:rFonts w:ascii="宋体" w:hAnsi="宋体"/>
                <w:snapToGrid w:val="0"/>
                <w:color w:val="auto"/>
                <w:kern w:val="0"/>
                <w:szCs w:val="21"/>
                <w:highlight w:val="none"/>
              </w:rPr>
              <w:t>%</w:t>
            </w:r>
            <w:r>
              <w:rPr>
                <w:rFonts w:hint="eastAsia" w:ascii="宋体" w:hAnsi="宋体"/>
                <w:snapToGrid w:val="0"/>
                <w:color w:val="auto"/>
                <w:kern w:val="0"/>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1244" w:type="dxa"/>
            <w:vAlign w:val="center"/>
          </w:tcPr>
          <w:p>
            <w:pPr>
              <w:autoSpaceDN w:val="0"/>
              <w:jc w:val="center"/>
              <w:rPr>
                <w:rFonts w:ascii="宋体" w:hAnsi="宋体"/>
                <w:b/>
                <w:color w:val="auto"/>
                <w:szCs w:val="21"/>
                <w:highlight w:val="none"/>
                <w:shd w:val="clear" w:color="auto" w:fill="FFFFFF"/>
              </w:rPr>
            </w:pPr>
            <w:r>
              <w:rPr>
                <w:rFonts w:hint="eastAsia" w:ascii="宋体" w:hAnsi="宋体"/>
                <w:b/>
                <w:color w:val="auto"/>
                <w:szCs w:val="21"/>
                <w:highlight w:val="none"/>
                <w:shd w:val="clear" w:color="auto" w:fill="FFFFFF"/>
              </w:rPr>
              <w:t>海拔高度</w:t>
            </w:r>
          </w:p>
        </w:tc>
        <w:tc>
          <w:tcPr>
            <w:tcW w:w="8406" w:type="dxa"/>
            <w:vAlign w:val="center"/>
          </w:tcPr>
          <w:p>
            <w:pPr>
              <w:autoSpaceDN w:val="0"/>
              <w:jc w:val="center"/>
              <w:rPr>
                <w:rFonts w:ascii="宋体" w:hAnsi="宋体"/>
                <w:color w:val="auto"/>
                <w:szCs w:val="21"/>
                <w:highlight w:val="none"/>
              </w:rPr>
            </w:pPr>
            <w:r>
              <w:rPr>
                <w:rFonts w:hint="eastAsia" w:ascii="宋体" w:hAnsi="宋体"/>
                <w:color w:val="auto"/>
                <w:szCs w:val="21"/>
                <w:highlight w:val="none"/>
              </w:rPr>
              <w:t>小于1500米；1500～4000米之间按GB/T3859.2降额使用</w:t>
            </w:r>
          </w:p>
        </w:tc>
      </w:tr>
    </w:tbl>
    <w:p>
      <w:pPr>
        <w:pStyle w:val="37"/>
        <w:spacing w:line="360" w:lineRule="auto"/>
        <w:ind w:firstLine="0" w:firstLineChars="0"/>
        <w:jc w:val="center"/>
        <w:rPr>
          <w:rFonts w:hAnsi="宋体"/>
          <w:color w:val="auto"/>
          <w:sz w:val="21"/>
          <w:szCs w:val="21"/>
          <w:highlight w:val="none"/>
        </w:rPr>
      </w:pPr>
    </w:p>
    <w:p>
      <w:pPr>
        <w:numPr>
          <w:ilvl w:val="0"/>
          <w:numId w:val="34"/>
        </w:numPr>
        <w:spacing w:line="360" w:lineRule="auto"/>
        <w:rPr>
          <w:rFonts w:ascii="宋体" w:hAnsi="宋体"/>
          <w:color w:val="auto"/>
          <w:szCs w:val="21"/>
          <w:highlight w:val="none"/>
        </w:rPr>
      </w:pPr>
      <w:r>
        <w:rPr>
          <w:rFonts w:hint="eastAsia" w:ascii="宋体" w:hAnsi="宋体"/>
          <w:color w:val="auto"/>
          <w:szCs w:val="21"/>
          <w:highlight w:val="none"/>
        </w:rPr>
        <w:t>技术要求</w:t>
      </w:r>
    </w:p>
    <w:p>
      <w:pPr>
        <w:numPr>
          <w:ilvl w:val="1"/>
          <w:numId w:val="35"/>
        </w:numPr>
        <w:spacing w:line="360" w:lineRule="auto"/>
        <w:rPr>
          <w:rFonts w:ascii="宋体" w:hAnsi="宋体"/>
          <w:color w:val="auto"/>
          <w:szCs w:val="21"/>
          <w:highlight w:val="none"/>
        </w:rPr>
      </w:pPr>
      <w:r>
        <w:rPr>
          <w:rFonts w:hint="eastAsia" w:ascii="宋体" w:hAnsi="宋体"/>
          <w:color w:val="auto"/>
          <w:szCs w:val="21"/>
          <w:highlight w:val="none"/>
        </w:rPr>
        <w:t xml:space="preserve">静止无功发生器采用机械风冷方式散热，风冷采用直流调速风机，要求在柜体上安装有温控器，有温度控制措施，温度控制的范围可通过定值整定；    </w:t>
      </w:r>
    </w:p>
    <w:p>
      <w:pPr>
        <w:numPr>
          <w:ilvl w:val="1"/>
          <w:numId w:val="35"/>
        </w:numPr>
        <w:spacing w:line="360" w:lineRule="auto"/>
        <w:rPr>
          <w:rFonts w:ascii="宋体" w:hAnsi="宋体"/>
          <w:color w:val="auto"/>
          <w:szCs w:val="21"/>
          <w:highlight w:val="none"/>
        </w:rPr>
      </w:pPr>
      <w:r>
        <w:rPr>
          <w:rFonts w:hint="eastAsia" w:ascii="宋体" w:hAnsi="宋体"/>
          <w:color w:val="auto"/>
          <w:szCs w:val="21"/>
          <w:highlight w:val="none"/>
        </w:rPr>
        <w:t>静止无功发生器要求采用三电平技术，模块化设计思路，所有的主要功能要求在一个模块内实现，至少软上电回路、滤波回路、检测回路、</w:t>
      </w:r>
      <w:r>
        <w:rPr>
          <w:rFonts w:ascii="宋体" w:hAnsi="宋体"/>
          <w:color w:val="auto"/>
          <w:szCs w:val="21"/>
          <w:highlight w:val="none"/>
        </w:rPr>
        <w:t>IGBT</w:t>
      </w:r>
      <w:r>
        <w:rPr>
          <w:rFonts w:hint="eastAsia" w:ascii="宋体" w:hAnsi="宋体"/>
          <w:color w:val="auto"/>
          <w:szCs w:val="21"/>
          <w:highlight w:val="none"/>
        </w:rPr>
        <w:t>功率变换模块、驱动电路、跟踪控制电路、辅助电源系统、监控显示液晶屏等应在一个模块内实现，储能元件要求采用电容或电感元件以提高能效。</w:t>
      </w:r>
    </w:p>
    <w:p>
      <w:pPr>
        <w:numPr>
          <w:ilvl w:val="1"/>
          <w:numId w:val="35"/>
        </w:numPr>
        <w:spacing w:line="360" w:lineRule="auto"/>
        <w:rPr>
          <w:rFonts w:ascii="宋体" w:hAnsi="宋体"/>
          <w:color w:val="auto"/>
          <w:szCs w:val="21"/>
          <w:highlight w:val="none"/>
        </w:rPr>
      </w:pPr>
      <w:r>
        <w:rPr>
          <w:rFonts w:hint="eastAsia" w:ascii="宋体" w:hAnsi="宋体"/>
          <w:color w:val="auto"/>
          <w:szCs w:val="21"/>
          <w:highlight w:val="none"/>
        </w:rPr>
        <w:t>静止无功发生器至少应具备：三相负荷平衡调节功能，还可动态、双向、连续、调节无功功率，既可以补偿感性无功，又可补偿容性无功，无功补偿容量保证连续调节与平滑输出，装置目标功率因数值可以设置在双向范围内任意值，在补偿容量足够的条件下，可以保证补偿后的平均功率因数接近于</w:t>
      </w:r>
      <w:r>
        <w:rPr>
          <w:rFonts w:ascii="宋体" w:hAnsi="宋体"/>
          <w:color w:val="auto"/>
          <w:szCs w:val="21"/>
          <w:highlight w:val="none"/>
        </w:rPr>
        <w:t>1</w:t>
      </w:r>
      <w:r>
        <w:rPr>
          <w:rFonts w:hint="eastAsia" w:ascii="宋体" w:hAnsi="宋体"/>
          <w:color w:val="auto"/>
          <w:szCs w:val="21"/>
          <w:highlight w:val="none"/>
        </w:rPr>
        <w:t>；</w:t>
      </w:r>
    </w:p>
    <w:p>
      <w:pPr>
        <w:numPr>
          <w:ilvl w:val="1"/>
          <w:numId w:val="35"/>
        </w:numPr>
        <w:spacing w:line="360" w:lineRule="auto"/>
        <w:rPr>
          <w:rFonts w:ascii="宋体" w:hAnsi="宋体"/>
          <w:color w:val="auto"/>
          <w:szCs w:val="21"/>
          <w:highlight w:val="none"/>
        </w:rPr>
      </w:pPr>
      <w:r>
        <w:rPr>
          <w:rFonts w:hint="eastAsia" w:ascii="宋体" w:hAnsi="宋体"/>
          <w:color w:val="auto"/>
          <w:szCs w:val="21"/>
          <w:highlight w:val="none"/>
        </w:rPr>
        <w:t>静止无功发生器的</w:t>
      </w:r>
      <w:r>
        <w:rPr>
          <w:rFonts w:ascii="宋体" w:hAnsi="宋体"/>
          <w:color w:val="auto"/>
          <w:szCs w:val="21"/>
          <w:highlight w:val="none"/>
        </w:rPr>
        <w:t>IGBT</w:t>
      </w:r>
      <w:r>
        <w:rPr>
          <w:rFonts w:hint="eastAsia" w:ascii="宋体" w:hAnsi="宋体"/>
          <w:color w:val="auto"/>
          <w:szCs w:val="21"/>
          <w:highlight w:val="none"/>
        </w:rPr>
        <w:t>功率变换模块电路应采用三电平拓扑结构，</w:t>
      </w:r>
      <w:r>
        <w:rPr>
          <w:rFonts w:ascii="宋体" w:hAnsi="宋体"/>
          <w:color w:val="auto"/>
          <w:szCs w:val="21"/>
          <w:highlight w:val="none"/>
        </w:rPr>
        <w:t>IGBT</w:t>
      </w:r>
      <w:r>
        <w:rPr>
          <w:rFonts w:hint="eastAsia" w:ascii="宋体" w:hAnsi="宋体"/>
          <w:color w:val="auto"/>
          <w:szCs w:val="21"/>
          <w:highlight w:val="none"/>
        </w:rPr>
        <w:t>模块要求采用国际知名品牌产品，如：英飞凌、三菱、富士、西门康等；</w:t>
      </w:r>
    </w:p>
    <w:p>
      <w:pPr>
        <w:numPr>
          <w:ilvl w:val="1"/>
          <w:numId w:val="35"/>
        </w:numPr>
        <w:spacing w:line="360" w:lineRule="auto"/>
        <w:rPr>
          <w:rFonts w:hint="eastAsia" w:ascii="宋体" w:hAnsi="宋体"/>
          <w:color w:val="auto"/>
          <w:szCs w:val="21"/>
          <w:highlight w:val="none"/>
        </w:rPr>
      </w:pPr>
      <w:r>
        <w:rPr>
          <w:rFonts w:hint="eastAsia" w:ascii="宋体" w:hAnsi="宋体"/>
          <w:color w:val="auto"/>
          <w:szCs w:val="21"/>
          <w:highlight w:val="none"/>
        </w:rPr>
        <w:t>静止无功发生器采用多芯片控制方式，控制系统采用</w:t>
      </w:r>
      <w:r>
        <w:rPr>
          <w:rFonts w:hint="eastAsia" w:ascii="宋体" w:hAnsi="宋体"/>
          <w:color w:val="auto"/>
          <w:szCs w:val="21"/>
          <w:highlight w:val="none"/>
        </w:rPr>
        <w:t>FPGA+ARM</w:t>
      </w:r>
      <w:r>
        <w:rPr>
          <w:rFonts w:hint="eastAsia" w:ascii="宋体" w:hAnsi="宋体"/>
          <w:color w:val="auto"/>
          <w:szCs w:val="21"/>
          <w:highlight w:val="none"/>
        </w:rPr>
        <w:t>的多核处理器架构，充分利用FPGA的硬件并行优势，不仅可以提高数据的采集和运算速度。而且可以解决串行软件DSP处理技术电磁兼容性差、易死机等问题。要求FPGA控制芯片厂家为进口品牌，需提供报关单。</w:t>
      </w:r>
    </w:p>
    <w:p>
      <w:pPr>
        <w:numPr>
          <w:ilvl w:val="1"/>
          <w:numId w:val="35"/>
        </w:numPr>
        <w:spacing w:line="360" w:lineRule="auto"/>
        <w:rPr>
          <w:rFonts w:ascii="宋体" w:hAnsi="宋体"/>
          <w:color w:val="auto"/>
          <w:szCs w:val="21"/>
          <w:highlight w:val="none"/>
        </w:rPr>
      </w:pPr>
      <w:r>
        <w:rPr>
          <w:rFonts w:hint="eastAsia" w:ascii="宋体" w:hAnsi="宋体"/>
          <w:color w:val="auto"/>
          <w:szCs w:val="21"/>
          <w:highlight w:val="none"/>
        </w:rPr>
        <w:t>静止无功发生器具有中文液晶显示器和操作键的人机界面，可进行参数设置、状态改变、信息查看等操作，并能显示运行状况、测量数据、故障报警等电能质量全界面信息，装置应可利用短距无线通信方式实现信息查看与参数修改；</w:t>
      </w:r>
    </w:p>
    <w:p>
      <w:pPr>
        <w:numPr>
          <w:ilvl w:val="1"/>
          <w:numId w:val="35"/>
        </w:numPr>
        <w:spacing w:line="360" w:lineRule="auto"/>
        <w:rPr>
          <w:rFonts w:ascii="宋体" w:hAnsi="宋体"/>
          <w:color w:val="auto"/>
          <w:szCs w:val="21"/>
          <w:highlight w:val="none"/>
        </w:rPr>
      </w:pPr>
      <w:r>
        <w:rPr>
          <w:rFonts w:hint="eastAsia" w:ascii="宋体" w:hAnsi="宋体"/>
          <w:color w:val="auto"/>
          <w:szCs w:val="21"/>
          <w:highlight w:val="none"/>
        </w:rPr>
        <w:t>静止无功发生器应具有过载保护功能，自动限流在</w:t>
      </w:r>
      <w:r>
        <w:rPr>
          <w:rFonts w:ascii="宋体" w:hAnsi="宋体"/>
          <w:color w:val="auto"/>
          <w:szCs w:val="21"/>
          <w:highlight w:val="none"/>
        </w:rPr>
        <w:t>100%</w:t>
      </w:r>
      <w:r>
        <w:rPr>
          <w:rFonts w:hint="eastAsia" w:ascii="宋体" w:hAnsi="宋体"/>
          <w:color w:val="auto"/>
          <w:szCs w:val="21"/>
          <w:highlight w:val="none"/>
        </w:rPr>
        <w:t>额定输出，当系统中的无功需求长期超过装置的额定输出能力时，装置能在自己的额定容量范围内最大限度地对无功进行补偿，维持正常工作，不会出现过载烧毁等故障；</w:t>
      </w:r>
    </w:p>
    <w:p>
      <w:pPr>
        <w:numPr>
          <w:ilvl w:val="1"/>
          <w:numId w:val="35"/>
        </w:numPr>
        <w:spacing w:line="360" w:lineRule="auto"/>
        <w:rPr>
          <w:rFonts w:ascii="宋体" w:hAnsi="宋体"/>
          <w:color w:val="auto"/>
          <w:szCs w:val="21"/>
          <w:highlight w:val="none"/>
        </w:rPr>
      </w:pPr>
      <w:r>
        <w:rPr>
          <w:rFonts w:hint="eastAsia" w:ascii="宋体" w:hAnsi="宋体"/>
          <w:color w:val="auto"/>
          <w:szCs w:val="21"/>
          <w:highlight w:val="none"/>
        </w:rPr>
        <w:t>静止无功发生器输入端设置可靠的雷击浪涌保护装置，在雷电操作波发生时，保护装置，不损坏设备，自身的控制装置也要求设置防浪涌的措施；装置自身高频载波不能回馈到电网，对其它系统和设备没有干扰；</w:t>
      </w:r>
    </w:p>
    <w:p>
      <w:pPr>
        <w:numPr>
          <w:ilvl w:val="1"/>
          <w:numId w:val="35"/>
        </w:numPr>
        <w:spacing w:line="360" w:lineRule="auto"/>
        <w:rPr>
          <w:rFonts w:ascii="宋体" w:hAnsi="宋体"/>
          <w:color w:val="auto"/>
          <w:szCs w:val="21"/>
          <w:highlight w:val="none"/>
        </w:rPr>
      </w:pPr>
      <w:r>
        <w:rPr>
          <w:rFonts w:hint="eastAsia" w:ascii="宋体" w:hAnsi="宋体"/>
          <w:color w:val="auto"/>
          <w:szCs w:val="21"/>
          <w:highlight w:val="none"/>
        </w:rPr>
        <w:t>静止无功发生器具有</w:t>
      </w:r>
      <w:r>
        <w:rPr>
          <w:rFonts w:ascii="宋体" w:hAnsi="宋体"/>
          <w:color w:val="auto"/>
          <w:szCs w:val="21"/>
          <w:highlight w:val="none"/>
        </w:rPr>
        <w:t>RS485</w:t>
      </w:r>
      <w:r>
        <w:rPr>
          <w:rFonts w:hint="eastAsia" w:ascii="宋体" w:hAnsi="宋体"/>
          <w:color w:val="auto"/>
          <w:szCs w:val="21"/>
          <w:highlight w:val="none"/>
        </w:rPr>
        <w:t>接口和</w:t>
      </w:r>
      <w:r>
        <w:rPr>
          <w:rFonts w:ascii="宋体" w:hAnsi="宋体"/>
          <w:color w:val="auto"/>
          <w:szCs w:val="21"/>
          <w:highlight w:val="none"/>
        </w:rPr>
        <w:t>modbus</w:t>
      </w:r>
      <w:r>
        <w:rPr>
          <w:rFonts w:hint="eastAsia" w:ascii="宋体" w:hAnsi="宋体"/>
          <w:color w:val="auto"/>
          <w:szCs w:val="21"/>
          <w:highlight w:val="none"/>
        </w:rPr>
        <w:t>标准接口协议，以方便用户将设备运行状况、测量数据和故障报警等信息接入到监控系统，并免费提接口的相关技术通信协议。</w:t>
      </w:r>
    </w:p>
    <w:p>
      <w:pPr>
        <w:numPr>
          <w:ilvl w:val="1"/>
          <w:numId w:val="35"/>
        </w:numPr>
        <w:spacing w:line="360" w:lineRule="auto"/>
        <w:rPr>
          <w:rFonts w:ascii="宋体" w:hAnsi="宋体"/>
          <w:color w:val="auto"/>
          <w:szCs w:val="21"/>
          <w:highlight w:val="none"/>
        </w:rPr>
      </w:pPr>
      <w:r>
        <w:rPr>
          <w:rFonts w:hint="eastAsia" w:ascii="宋体" w:hAnsi="宋体"/>
          <w:color w:val="auto"/>
          <w:szCs w:val="21"/>
          <w:highlight w:val="none"/>
        </w:rPr>
        <w:t>静止无功发生器应能通过通信接口接入到电能质量监测系统</w:t>
      </w:r>
    </w:p>
    <w:p>
      <w:pPr>
        <w:numPr>
          <w:ilvl w:val="1"/>
          <w:numId w:val="35"/>
        </w:numPr>
        <w:spacing w:line="360" w:lineRule="auto"/>
        <w:rPr>
          <w:rFonts w:ascii="宋体" w:hAnsi="宋体"/>
          <w:color w:val="auto"/>
          <w:szCs w:val="21"/>
          <w:highlight w:val="none"/>
        </w:rPr>
      </w:pPr>
      <w:r>
        <w:rPr>
          <w:rFonts w:hint="eastAsia" w:ascii="宋体" w:hAnsi="宋体"/>
          <w:color w:val="auto"/>
          <w:szCs w:val="21"/>
          <w:highlight w:val="none"/>
        </w:rPr>
        <w:t>静止无功发生器支持多模块并联使用，当单个模块容量不够时，可采用多个模块并联使用以增加调节电流的容量。</w:t>
      </w:r>
    </w:p>
    <w:p>
      <w:pPr>
        <w:numPr>
          <w:ilvl w:val="1"/>
          <w:numId w:val="35"/>
        </w:numPr>
        <w:spacing w:line="360" w:lineRule="auto"/>
        <w:rPr>
          <w:rFonts w:ascii="宋体" w:hAnsi="宋体"/>
          <w:color w:val="auto"/>
          <w:szCs w:val="21"/>
          <w:highlight w:val="none"/>
        </w:rPr>
      </w:pPr>
      <w:r>
        <w:rPr>
          <w:rFonts w:hint="eastAsia" w:ascii="宋体" w:hAnsi="宋体"/>
          <w:color w:val="auto"/>
          <w:szCs w:val="21"/>
          <w:highlight w:val="none"/>
        </w:rPr>
        <w:t>静止无功发生器应选配谐波抑制功能（见专用技术规范第3条招标产品需求说明），</w:t>
      </w:r>
      <w:r>
        <w:rPr>
          <w:rFonts w:hint="eastAsia" w:ascii="宋体" w:hAnsi="宋体"/>
          <w:color w:val="auto"/>
          <w:szCs w:val="21"/>
          <w:highlight w:val="none"/>
        </w:rPr>
        <w:t>谐波抑制率</w:t>
      </w:r>
      <w:r>
        <w:rPr>
          <w:rFonts w:ascii="宋体" w:hAnsi="宋体"/>
          <w:color w:val="auto"/>
          <w:szCs w:val="21"/>
          <w:highlight w:val="none"/>
        </w:rPr>
        <w:t>≥9</w:t>
      </w:r>
      <w:r>
        <w:rPr>
          <w:rFonts w:hint="eastAsia" w:ascii="宋体" w:hAnsi="宋体"/>
          <w:color w:val="auto"/>
          <w:szCs w:val="21"/>
          <w:highlight w:val="none"/>
        </w:rPr>
        <w:t>5</w:t>
      </w:r>
      <w:r>
        <w:rPr>
          <w:rFonts w:ascii="宋体" w:hAnsi="宋体"/>
          <w:color w:val="auto"/>
          <w:szCs w:val="21"/>
          <w:highlight w:val="none"/>
        </w:rPr>
        <w:t>%</w:t>
      </w:r>
      <w:r>
        <w:rPr>
          <w:rFonts w:ascii="宋体" w:hAnsi="宋体"/>
          <w:color w:val="auto"/>
          <w:szCs w:val="21"/>
          <w:highlight w:val="none"/>
        </w:rPr>
        <w:t>（13</w:t>
      </w:r>
      <w:r>
        <w:rPr>
          <w:rFonts w:hint="eastAsia" w:ascii="宋体" w:hAnsi="宋体"/>
          <w:color w:val="auto"/>
          <w:szCs w:val="21"/>
          <w:highlight w:val="none"/>
        </w:rPr>
        <w:t>次及以下谐波）。</w:t>
      </w:r>
    </w:p>
    <w:p>
      <w:pPr>
        <w:numPr>
          <w:ilvl w:val="1"/>
          <w:numId w:val="35"/>
        </w:numPr>
        <w:spacing w:line="360" w:lineRule="auto"/>
        <w:rPr>
          <w:rFonts w:ascii="宋体" w:hAnsi="宋体"/>
          <w:color w:val="auto"/>
          <w:szCs w:val="21"/>
          <w:highlight w:val="none"/>
        </w:rPr>
      </w:pPr>
      <w:r>
        <w:rPr>
          <w:rFonts w:hint="eastAsia" w:ascii="宋体" w:hAnsi="宋体"/>
          <w:color w:val="auto"/>
          <w:szCs w:val="21"/>
          <w:highlight w:val="none"/>
        </w:rPr>
        <w:t>应提供SVG模块的CQC试验报告（100kvar模块报告），无报告的产品不得选用。</w:t>
      </w:r>
    </w:p>
    <w:p>
      <w:pPr>
        <w:numPr>
          <w:ilvl w:val="1"/>
          <w:numId w:val="35"/>
        </w:numPr>
        <w:spacing w:line="360" w:lineRule="auto"/>
        <w:rPr>
          <w:rFonts w:ascii="宋体" w:hAnsi="宋体"/>
          <w:color w:val="auto"/>
          <w:szCs w:val="21"/>
          <w:highlight w:val="none"/>
        </w:rPr>
      </w:pPr>
      <w:r>
        <w:rPr>
          <w:rFonts w:hint="eastAsia" w:ascii="宋体" w:hAnsi="宋体"/>
          <w:color w:val="auto"/>
          <w:szCs w:val="21"/>
          <w:highlight w:val="none"/>
        </w:rPr>
        <w:t>SVG产品应通过盐雾性能检测，</w:t>
      </w:r>
      <w:r>
        <w:rPr>
          <w:rFonts w:hint="eastAsia" w:ascii="宋体" w:hAnsi="宋体"/>
          <w:color w:val="auto"/>
          <w:szCs w:val="21"/>
          <w:highlight w:val="none"/>
        </w:rPr>
        <w:t>并取得盐雾检测报告</w:t>
      </w:r>
      <w:r>
        <w:rPr>
          <w:rFonts w:hint="eastAsia" w:ascii="宋体" w:hAnsi="宋体"/>
          <w:color w:val="auto"/>
          <w:szCs w:val="21"/>
          <w:highlight w:val="none"/>
        </w:rPr>
        <w:t>。</w:t>
      </w:r>
    </w:p>
    <w:p>
      <w:pPr>
        <w:numPr>
          <w:ilvl w:val="1"/>
          <w:numId w:val="35"/>
        </w:numPr>
        <w:spacing w:line="360" w:lineRule="auto"/>
        <w:rPr>
          <w:rFonts w:ascii="宋体" w:hAnsi="宋体"/>
          <w:color w:val="auto"/>
          <w:szCs w:val="21"/>
          <w:highlight w:val="none"/>
        </w:rPr>
      </w:pPr>
      <w:r>
        <w:rPr>
          <w:rFonts w:hint="eastAsia" w:ascii="宋体" w:hAnsi="宋体"/>
          <w:color w:val="auto"/>
          <w:szCs w:val="21"/>
          <w:highlight w:val="none"/>
        </w:rPr>
        <w:t>谐波治理的容量应满足以下要求：容量为30Kvar的SVG产品应具有30kvar的无功补偿容量，另外增加不小于15A的谐波治理能力；容量为50Kvar的SVG产品应具有50kvar的无功补偿容量，另外增加不小于25A的谐波治理能力；其他容量以此类推。</w:t>
      </w:r>
    </w:p>
    <w:p>
      <w:pPr>
        <w:numPr>
          <w:ilvl w:val="1"/>
          <w:numId w:val="35"/>
        </w:numPr>
        <w:spacing w:line="360" w:lineRule="auto"/>
        <w:rPr>
          <w:rFonts w:ascii="宋体" w:hAnsi="宋体"/>
          <w:color w:val="auto"/>
          <w:szCs w:val="21"/>
          <w:highlight w:val="none"/>
        </w:rPr>
      </w:pPr>
      <w:r>
        <w:rPr>
          <w:rFonts w:hint="eastAsia" w:ascii="宋体" w:hAnsi="宋体"/>
          <w:color w:val="auto"/>
          <w:szCs w:val="21"/>
          <w:highlight w:val="none"/>
        </w:rPr>
        <w:t>产品要求至少5年及以上的质保期</w:t>
      </w:r>
      <w:r>
        <w:rPr>
          <w:rFonts w:hint="eastAsia" w:ascii="宋体" w:hAnsi="宋体"/>
          <w:color w:val="auto"/>
          <w:szCs w:val="21"/>
          <w:highlight w:val="none"/>
        </w:rPr>
        <w:t>。</w:t>
      </w:r>
    </w:p>
    <w:p>
      <w:pPr>
        <w:numPr>
          <w:ilvl w:val="0"/>
          <w:numId w:val="33"/>
        </w:numPr>
        <w:spacing w:line="360" w:lineRule="auto"/>
        <w:rPr>
          <w:rFonts w:ascii="宋体" w:hAnsi="宋体"/>
          <w:color w:val="auto"/>
          <w:szCs w:val="21"/>
          <w:highlight w:val="none"/>
        </w:rPr>
      </w:pPr>
      <w:r>
        <w:rPr>
          <w:rFonts w:ascii="宋体" w:hAnsi="宋体"/>
          <w:color w:val="auto"/>
          <w:szCs w:val="21"/>
          <w:highlight w:val="none"/>
        </w:rPr>
        <w:t>控制</w:t>
      </w:r>
      <w:r>
        <w:rPr>
          <w:rFonts w:hint="eastAsia" w:ascii="宋体" w:hAnsi="宋体"/>
          <w:color w:val="auto"/>
          <w:szCs w:val="21"/>
          <w:highlight w:val="none"/>
        </w:rPr>
        <w:t>器</w:t>
      </w:r>
    </w:p>
    <w:p>
      <w:pPr>
        <w:numPr>
          <w:ilvl w:val="0"/>
          <w:numId w:val="36"/>
        </w:numPr>
        <w:spacing w:line="360" w:lineRule="auto"/>
        <w:rPr>
          <w:rFonts w:ascii="宋体" w:hAnsi="宋体"/>
          <w:color w:val="auto"/>
          <w:szCs w:val="21"/>
          <w:highlight w:val="none"/>
        </w:rPr>
      </w:pPr>
      <w:r>
        <w:rPr>
          <w:rFonts w:ascii="宋体" w:hAnsi="宋体"/>
          <w:color w:val="auto"/>
          <w:szCs w:val="21"/>
          <w:highlight w:val="none"/>
        </w:rPr>
        <w:t>控制器</w:t>
      </w:r>
      <w:r>
        <w:rPr>
          <w:rFonts w:hint="eastAsia" w:ascii="宋体" w:hAnsi="宋体"/>
          <w:color w:val="auto"/>
          <w:szCs w:val="21"/>
          <w:highlight w:val="none"/>
        </w:rPr>
        <w:t>带有可触摸操作的显示屏，显示屏不小于5英寸，</w:t>
      </w:r>
      <w:r>
        <w:rPr>
          <w:rFonts w:ascii="宋体" w:hAnsi="宋体"/>
          <w:color w:val="auto"/>
          <w:szCs w:val="21"/>
          <w:highlight w:val="none"/>
        </w:rPr>
        <w:t>可以监测</w:t>
      </w:r>
      <w:r>
        <w:rPr>
          <w:rFonts w:hint="eastAsia" w:ascii="宋体" w:hAnsi="宋体"/>
          <w:color w:val="auto"/>
          <w:szCs w:val="21"/>
          <w:highlight w:val="none"/>
        </w:rPr>
        <w:t>负载侧的</w:t>
      </w:r>
      <w:r>
        <w:rPr>
          <w:rFonts w:ascii="宋体" w:hAnsi="宋体"/>
          <w:color w:val="auto"/>
          <w:szCs w:val="21"/>
          <w:highlight w:val="none"/>
        </w:rPr>
        <w:t>电压和电流，当输出电压值与基准电压值的偏差大于允许范围并超过相应的时间后，控制器发出指令使</w:t>
      </w:r>
      <w:r>
        <w:rPr>
          <w:rFonts w:hint="eastAsia" w:ascii="宋体" w:hAnsi="宋体"/>
          <w:color w:val="auto"/>
          <w:szCs w:val="21"/>
          <w:highlight w:val="none"/>
        </w:rPr>
        <w:t>逆变器</w:t>
      </w:r>
      <w:r>
        <w:rPr>
          <w:rFonts w:ascii="宋体" w:hAnsi="宋体"/>
          <w:color w:val="auto"/>
          <w:szCs w:val="21"/>
          <w:highlight w:val="none"/>
        </w:rPr>
        <w:t>动作</w:t>
      </w:r>
      <w:r>
        <w:rPr>
          <w:rFonts w:hint="eastAsia" w:ascii="宋体" w:hAnsi="宋体"/>
          <w:color w:val="auto"/>
          <w:szCs w:val="21"/>
          <w:highlight w:val="none"/>
        </w:rPr>
        <w:t>，</w:t>
      </w:r>
    </w:p>
    <w:p>
      <w:pPr>
        <w:numPr>
          <w:ilvl w:val="0"/>
          <w:numId w:val="36"/>
        </w:numPr>
        <w:spacing w:line="360" w:lineRule="auto"/>
        <w:rPr>
          <w:rFonts w:ascii="宋体" w:hAnsi="宋体"/>
          <w:color w:val="auto"/>
          <w:szCs w:val="21"/>
          <w:highlight w:val="none"/>
        </w:rPr>
      </w:pPr>
      <w:r>
        <w:rPr>
          <w:rFonts w:hint="eastAsia" w:ascii="宋体" w:hAnsi="宋体"/>
          <w:color w:val="auto"/>
          <w:szCs w:val="21"/>
          <w:highlight w:val="none"/>
        </w:rPr>
        <w:t>SVG个体模块需含可触摸操作的显示屏，方便单体模块参数查看及设置。</w:t>
      </w:r>
    </w:p>
    <w:p>
      <w:pPr>
        <w:numPr>
          <w:ilvl w:val="0"/>
          <w:numId w:val="36"/>
        </w:numPr>
        <w:spacing w:line="360" w:lineRule="auto"/>
        <w:rPr>
          <w:rFonts w:ascii="宋体" w:hAnsi="宋体"/>
          <w:color w:val="auto"/>
          <w:szCs w:val="21"/>
          <w:highlight w:val="none"/>
        </w:rPr>
      </w:pPr>
      <w:r>
        <w:rPr>
          <w:rFonts w:ascii="宋体" w:hAnsi="宋体"/>
          <w:color w:val="auto"/>
          <w:szCs w:val="21"/>
          <w:highlight w:val="none"/>
        </w:rPr>
        <w:t>控制器</w:t>
      </w:r>
      <w:r>
        <w:rPr>
          <w:rFonts w:hint="eastAsia" w:ascii="宋体" w:hAnsi="宋体"/>
          <w:color w:val="auto"/>
          <w:szCs w:val="21"/>
          <w:highlight w:val="none"/>
        </w:rPr>
        <w:t>应直接控制静止无功发生器与电容电抗投切单元，与装置功能配合，支持在控制器上通过触摸屏进行操作、修改参数和查看数据；</w:t>
      </w:r>
    </w:p>
    <w:p>
      <w:pPr>
        <w:numPr>
          <w:ilvl w:val="0"/>
          <w:numId w:val="36"/>
        </w:numPr>
        <w:spacing w:line="360" w:lineRule="auto"/>
        <w:rPr>
          <w:rFonts w:ascii="宋体" w:hAnsi="宋体"/>
          <w:color w:val="auto"/>
          <w:szCs w:val="21"/>
          <w:highlight w:val="none"/>
        </w:rPr>
      </w:pPr>
      <w:r>
        <w:rPr>
          <w:rFonts w:ascii="宋体" w:hAnsi="宋体"/>
          <w:color w:val="auto"/>
          <w:szCs w:val="21"/>
          <w:highlight w:val="none"/>
        </w:rPr>
        <w:t>控制器</w:t>
      </w:r>
      <w:r>
        <w:rPr>
          <w:rFonts w:hint="eastAsia" w:ascii="宋体" w:hAnsi="宋体"/>
          <w:color w:val="auto"/>
          <w:szCs w:val="21"/>
          <w:highlight w:val="none"/>
        </w:rPr>
        <w:t>应具备数据通信功能，具备RS485通信接口，通信协议采用Modbus，具备向上位机传输数据的能力，通信的内容至少包括：电源侧电流、电压、功率因数、负载侧电流、电压、功率因数，还应包括装置的自检信息。</w:t>
      </w:r>
    </w:p>
    <w:p>
      <w:pPr>
        <w:spacing w:line="360" w:lineRule="auto"/>
        <w:rPr>
          <w:rFonts w:hint="eastAsia" w:ascii="宋体" w:hAnsi="宋体"/>
          <w:color w:val="auto"/>
          <w:szCs w:val="21"/>
          <w:highlight w:val="none"/>
        </w:rPr>
      </w:pPr>
      <w:r>
        <w:rPr>
          <w:rFonts w:hint="eastAsia" w:ascii="宋体" w:hAnsi="宋体"/>
          <w:color w:val="auto"/>
          <w:szCs w:val="21"/>
          <w:highlight w:val="none"/>
        </w:rPr>
        <w:t>5.3    保护及告警功能</w:t>
      </w:r>
    </w:p>
    <w:p>
      <w:pPr>
        <w:spacing w:line="360" w:lineRule="auto"/>
        <w:rPr>
          <w:rFonts w:hint="eastAsia" w:ascii="宋体" w:hAnsi="宋体"/>
          <w:color w:val="auto"/>
          <w:szCs w:val="21"/>
          <w:highlight w:val="none"/>
        </w:rPr>
      </w:pPr>
      <w:r>
        <w:rPr>
          <w:rFonts w:hint="eastAsia" w:ascii="宋体" w:hAnsi="宋体"/>
          <w:color w:val="auto"/>
          <w:szCs w:val="21"/>
          <w:highlight w:val="none"/>
        </w:rPr>
        <w:t>5.3.1  装置应具备以下告警功能</w:t>
      </w:r>
    </w:p>
    <w:p>
      <w:pPr>
        <w:numPr>
          <w:ilvl w:val="0"/>
          <w:numId w:val="37"/>
        </w:numPr>
        <w:spacing w:line="360" w:lineRule="auto"/>
        <w:rPr>
          <w:rFonts w:hint="eastAsia" w:ascii="宋体" w:hAnsi="宋体"/>
          <w:color w:val="auto"/>
          <w:szCs w:val="21"/>
          <w:highlight w:val="none"/>
        </w:rPr>
      </w:pPr>
      <w:r>
        <w:rPr>
          <w:rFonts w:hint="eastAsia" w:ascii="宋体" w:hAnsi="宋体"/>
          <w:color w:val="auto"/>
          <w:szCs w:val="21"/>
          <w:highlight w:val="none"/>
        </w:rPr>
        <w:t>装置应具有上电自检功能，自检异常时闭锁全部操作，并发出告警信息；</w:t>
      </w:r>
    </w:p>
    <w:p>
      <w:pPr>
        <w:numPr>
          <w:ilvl w:val="0"/>
          <w:numId w:val="37"/>
        </w:numPr>
        <w:spacing w:line="360" w:lineRule="auto"/>
        <w:rPr>
          <w:rFonts w:hint="eastAsia" w:ascii="宋体" w:hAnsi="宋体"/>
          <w:color w:val="auto"/>
          <w:szCs w:val="21"/>
          <w:highlight w:val="none"/>
        </w:rPr>
      </w:pPr>
      <w:r>
        <w:rPr>
          <w:rFonts w:hint="eastAsia" w:ascii="宋体" w:hAnsi="宋体"/>
          <w:color w:val="auto"/>
          <w:szCs w:val="21"/>
          <w:highlight w:val="none"/>
        </w:rPr>
        <w:t>同步信号异常告警功能。</w:t>
      </w:r>
    </w:p>
    <w:p>
      <w:pPr>
        <w:spacing w:line="360" w:lineRule="auto"/>
        <w:rPr>
          <w:rFonts w:hint="eastAsia" w:ascii="宋体" w:hAnsi="宋体"/>
          <w:color w:val="auto"/>
          <w:szCs w:val="21"/>
          <w:highlight w:val="none"/>
        </w:rPr>
      </w:pPr>
      <w:r>
        <w:rPr>
          <w:rFonts w:hint="eastAsia" w:ascii="宋体" w:hAnsi="宋体"/>
          <w:color w:val="auto"/>
          <w:szCs w:val="21"/>
          <w:highlight w:val="none"/>
        </w:rPr>
        <w:t>5.3.2  保护包括换流器的保护和装置的保护，保护方式由供货方与购货方协商设置，一般应具备以下保护功能：</w:t>
      </w:r>
    </w:p>
    <w:p>
      <w:pPr>
        <w:numPr>
          <w:ilvl w:val="0"/>
          <w:numId w:val="38"/>
        </w:numPr>
        <w:spacing w:line="360" w:lineRule="auto"/>
        <w:rPr>
          <w:rFonts w:hint="eastAsia" w:ascii="宋体" w:hAnsi="宋体"/>
          <w:color w:val="auto"/>
          <w:szCs w:val="21"/>
          <w:highlight w:val="none"/>
        </w:rPr>
      </w:pPr>
      <w:r>
        <w:rPr>
          <w:rFonts w:hint="eastAsia" w:ascii="宋体" w:hAnsi="宋体"/>
          <w:color w:val="auto"/>
          <w:szCs w:val="21"/>
          <w:highlight w:val="none"/>
        </w:rPr>
        <w:t xml:space="preserve"> 换流器的保护：</w:t>
      </w:r>
    </w:p>
    <w:p>
      <w:pPr>
        <w:spacing w:line="360" w:lineRule="auto"/>
        <w:ind w:firstLine="420" w:firstLineChars="200"/>
        <w:rPr>
          <w:rFonts w:hint="eastAsia" w:ascii="宋体" w:hAnsi="宋体"/>
          <w:color w:val="auto"/>
          <w:szCs w:val="21"/>
          <w:highlight w:val="none"/>
        </w:rPr>
      </w:pPr>
      <w:r>
        <w:rPr>
          <w:rFonts w:hint="eastAsia" w:ascii="宋体" w:hAnsi="宋体"/>
          <w:color w:val="auto"/>
          <w:szCs w:val="21"/>
          <w:highlight w:val="none"/>
        </w:rPr>
        <w:t>1）直流侧过电压与欠电压保护</w:t>
      </w:r>
    </w:p>
    <w:p>
      <w:pPr>
        <w:spacing w:line="360" w:lineRule="auto"/>
        <w:ind w:firstLine="420" w:firstLineChars="200"/>
        <w:rPr>
          <w:rFonts w:hint="eastAsia" w:ascii="宋体" w:hAnsi="宋体"/>
          <w:color w:val="auto"/>
          <w:szCs w:val="21"/>
          <w:highlight w:val="none"/>
        </w:rPr>
      </w:pPr>
      <w:r>
        <w:rPr>
          <w:rFonts w:hint="eastAsia" w:ascii="宋体" w:hAnsi="宋体"/>
          <w:color w:val="auto"/>
          <w:szCs w:val="21"/>
          <w:highlight w:val="none"/>
        </w:rPr>
        <w:t>2）换流器过电流保护；</w:t>
      </w:r>
    </w:p>
    <w:p>
      <w:pPr>
        <w:spacing w:line="360" w:lineRule="auto"/>
        <w:ind w:firstLine="420" w:firstLineChars="200"/>
        <w:rPr>
          <w:rFonts w:hint="eastAsia" w:ascii="宋体" w:hAnsi="宋体"/>
          <w:color w:val="auto"/>
          <w:szCs w:val="21"/>
          <w:highlight w:val="none"/>
        </w:rPr>
      </w:pPr>
      <w:r>
        <w:rPr>
          <w:rFonts w:hint="eastAsia" w:ascii="宋体" w:hAnsi="宋体"/>
          <w:color w:val="auto"/>
          <w:szCs w:val="21"/>
          <w:highlight w:val="none"/>
        </w:rPr>
        <w:t>3）驱动板故障保护；</w:t>
      </w:r>
    </w:p>
    <w:p>
      <w:pPr>
        <w:spacing w:line="360" w:lineRule="auto"/>
        <w:ind w:firstLine="420" w:firstLineChars="200"/>
        <w:rPr>
          <w:rFonts w:hint="eastAsia" w:ascii="宋体" w:hAnsi="宋体"/>
          <w:color w:val="auto"/>
          <w:szCs w:val="21"/>
          <w:highlight w:val="none"/>
        </w:rPr>
      </w:pPr>
      <w:r>
        <w:rPr>
          <w:rFonts w:hint="eastAsia" w:ascii="宋体" w:hAnsi="宋体"/>
          <w:color w:val="auto"/>
          <w:szCs w:val="21"/>
          <w:highlight w:val="none"/>
        </w:rPr>
        <w:t>4）换流器模块过温保护。</w:t>
      </w:r>
    </w:p>
    <w:p>
      <w:pPr>
        <w:numPr>
          <w:ilvl w:val="0"/>
          <w:numId w:val="38"/>
        </w:numPr>
        <w:spacing w:line="360" w:lineRule="auto"/>
        <w:rPr>
          <w:rFonts w:hint="eastAsia" w:ascii="宋体" w:hAnsi="宋体"/>
          <w:color w:val="auto"/>
          <w:szCs w:val="21"/>
          <w:highlight w:val="none"/>
        </w:rPr>
      </w:pPr>
      <w:r>
        <w:rPr>
          <w:rFonts w:hint="eastAsia" w:ascii="宋体" w:hAnsi="宋体"/>
          <w:color w:val="auto"/>
          <w:szCs w:val="21"/>
          <w:highlight w:val="none"/>
        </w:rPr>
        <w:t xml:space="preserve"> 装置的保护：</w:t>
      </w:r>
    </w:p>
    <w:p>
      <w:pPr>
        <w:spacing w:line="360" w:lineRule="auto"/>
        <w:ind w:firstLine="420" w:firstLineChars="200"/>
        <w:rPr>
          <w:rFonts w:hint="eastAsia" w:ascii="宋体" w:hAnsi="宋体"/>
          <w:color w:val="auto"/>
          <w:szCs w:val="21"/>
          <w:highlight w:val="none"/>
        </w:rPr>
      </w:pPr>
      <w:r>
        <w:rPr>
          <w:rFonts w:hint="eastAsia" w:ascii="宋体" w:hAnsi="宋体"/>
          <w:color w:val="auto"/>
          <w:szCs w:val="21"/>
          <w:highlight w:val="none"/>
        </w:rPr>
        <w:t>1）过电压、欠电压、过电流保护；</w:t>
      </w:r>
    </w:p>
    <w:p>
      <w:pPr>
        <w:spacing w:line="360" w:lineRule="auto"/>
        <w:ind w:firstLine="420" w:firstLineChars="200"/>
        <w:rPr>
          <w:rFonts w:hint="eastAsia" w:ascii="宋体" w:hAnsi="宋体"/>
          <w:color w:val="auto"/>
          <w:szCs w:val="21"/>
          <w:highlight w:val="none"/>
        </w:rPr>
      </w:pPr>
      <w:r>
        <w:rPr>
          <w:rFonts w:hint="eastAsia" w:ascii="宋体" w:hAnsi="宋体"/>
          <w:color w:val="auto"/>
          <w:szCs w:val="21"/>
          <w:highlight w:val="none"/>
        </w:rPr>
        <w:t>2）平衡电压保护；</w:t>
      </w:r>
    </w:p>
    <w:p>
      <w:pPr>
        <w:spacing w:line="360" w:lineRule="auto"/>
        <w:ind w:firstLine="420" w:firstLineChars="200"/>
        <w:rPr>
          <w:rFonts w:ascii="宋体" w:hAnsi="宋体"/>
          <w:color w:val="auto"/>
          <w:szCs w:val="21"/>
          <w:highlight w:val="none"/>
        </w:rPr>
      </w:pPr>
      <w:r>
        <w:rPr>
          <w:rFonts w:hint="eastAsia" w:ascii="宋体" w:hAnsi="宋体"/>
          <w:color w:val="auto"/>
          <w:szCs w:val="21"/>
          <w:highlight w:val="none"/>
        </w:rPr>
        <w:t>3）冷却系统异常保护。</w:t>
      </w:r>
    </w:p>
    <w:p>
      <w:pPr>
        <w:jc w:val="left"/>
        <w:rPr>
          <w:rFonts w:ascii="宋体" w:hAnsi="宋体"/>
          <w:color w:val="auto"/>
          <w:kern w:val="0"/>
          <w:szCs w:val="21"/>
          <w:highlight w:val="none"/>
        </w:rPr>
      </w:pPr>
    </w:p>
    <w:p>
      <w:pPr>
        <w:jc w:val="left"/>
        <w:rPr>
          <w:rFonts w:ascii="宋体" w:hAnsi="宋体"/>
          <w:color w:val="auto"/>
          <w:kern w:val="0"/>
          <w:szCs w:val="21"/>
          <w:highlight w:val="none"/>
        </w:rPr>
      </w:pPr>
    </w:p>
    <w:p>
      <w:pPr>
        <w:jc w:val="left"/>
        <w:rPr>
          <w:rFonts w:ascii="宋体" w:hAnsi="宋体"/>
          <w:color w:val="auto"/>
          <w:szCs w:val="21"/>
          <w:highlight w:val="none"/>
        </w:rPr>
      </w:pPr>
    </w:p>
    <w:p>
      <w:pPr>
        <w:jc w:val="left"/>
        <w:rPr>
          <w:rFonts w:ascii="宋体" w:hAnsi="宋体"/>
          <w:color w:val="auto"/>
          <w:szCs w:val="21"/>
          <w:highlight w:val="none"/>
        </w:rPr>
      </w:pPr>
    </w:p>
    <w:p>
      <w:pPr>
        <w:jc w:val="left"/>
        <w:rPr>
          <w:rFonts w:ascii="宋体" w:hAnsi="宋体"/>
          <w:color w:val="auto"/>
          <w:szCs w:val="21"/>
          <w:highlight w:val="none"/>
        </w:rPr>
      </w:pPr>
    </w:p>
    <w:p>
      <w:pPr>
        <w:jc w:val="left"/>
        <w:rPr>
          <w:rFonts w:ascii="宋体" w:hAnsi="宋体"/>
          <w:color w:val="auto"/>
          <w:szCs w:val="21"/>
          <w:highlight w:val="none"/>
        </w:rPr>
      </w:pPr>
    </w:p>
    <w:p>
      <w:pPr>
        <w:jc w:val="left"/>
        <w:rPr>
          <w:rFonts w:ascii="宋体" w:hAnsi="宋体"/>
          <w:color w:val="auto"/>
          <w:szCs w:val="21"/>
          <w:highlight w:val="none"/>
        </w:rPr>
      </w:pPr>
    </w:p>
    <w:p>
      <w:pPr>
        <w:jc w:val="left"/>
        <w:rPr>
          <w:rFonts w:ascii="宋体" w:hAnsi="宋体"/>
          <w:color w:val="auto"/>
          <w:szCs w:val="21"/>
          <w:highlight w:val="none"/>
        </w:rPr>
      </w:pPr>
    </w:p>
    <w:p>
      <w:pPr>
        <w:jc w:val="left"/>
        <w:rPr>
          <w:rFonts w:hint="eastAsia" w:ascii="宋体" w:hAnsi="宋体"/>
          <w:color w:val="auto"/>
          <w:szCs w:val="21"/>
          <w:highlight w:val="none"/>
        </w:rPr>
      </w:pPr>
    </w:p>
    <w:p>
      <w:pPr>
        <w:pStyle w:val="2"/>
        <w:jc w:val="center"/>
        <w:rPr>
          <w:rFonts w:ascii="宋体" w:hAnsi="宋体" w:eastAsia="宋体"/>
          <w:color w:val="auto"/>
          <w:sz w:val="21"/>
          <w:szCs w:val="21"/>
          <w:highlight w:val="none"/>
        </w:rPr>
      </w:pPr>
      <w:bookmarkStart w:id="165" w:name="_Toc463790498"/>
      <w:bookmarkStart w:id="166" w:name="_Toc429321065"/>
      <w:r>
        <w:rPr>
          <w:rFonts w:hint="eastAsia" w:ascii="宋体" w:hAnsi="宋体" w:eastAsia="宋体"/>
          <w:color w:val="auto"/>
          <w:sz w:val="21"/>
          <w:szCs w:val="21"/>
          <w:highlight w:val="none"/>
        </w:rPr>
        <w:t>第2部分：专用技术规范</w:t>
      </w:r>
      <w:bookmarkEnd w:id="165"/>
      <w:bookmarkEnd w:id="166"/>
    </w:p>
    <w:p>
      <w:pPr>
        <w:pStyle w:val="3"/>
        <w:rPr>
          <w:rFonts w:ascii="宋体" w:hAnsi="宋体"/>
          <w:color w:val="auto"/>
          <w:szCs w:val="21"/>
          <w:highlight w:val="none"/>
        </w:rPr>
      </w:pPr>
      <w:bookmarkStart w:id="167" w:name="_Toc429321066"/>
      <w:bookmarkStart w:id="168" w:name="_Toc357152520"/>
      <w:bookmarkStart w:id="169" w:name="_Toc463790499"/>
      <w:r>
        <w:rPr>
          <w:rFonts w:hint="eastAsia" w:ascii="宋体" w:hAnsi="宋体"/>
          <w:color w:val="auto"/>
          <w:szCs w:val="21"/>
          <w:highlight w:val="none"/>
        </w:rPr>
        <w:t>1　标准技术参数</w:t>
      </w:r>
      <w:bookmarkEnd w:id="167"/>
      <w:bookmarkEnd w:id="168"/>
      <w:bookmarkEnd w:id="169"/>
    </w:p>
    <w:p>
      <w:pPr>
        <w:pStyle w:val="37"/>
        <w:spacing w:line="360" w:lineRule="auto"/>
        <w:ind w:firstLine="0" w:firstLineChars="0"/>
        <w:rPr>
          <w:rFonts w:hAnsi="宋体"/>
          <w:color w:val="auto"/>
          <w:sz w:val="21"/>
          <w:szCs w:val="21"/>
          <w:highlight w:val="none"/>
        </w:rPr>
      </w:pPr>
      <w:r>
        <w:rPr>
          <w:rFonts w:hint="eastAsia" w:hAnsi="宋体"/>
          <w:color w:val="auto"/>
          <w:sz w:val="21"/>
          <w:szCs w:val="21"/>
          <w:highlight w:val="none"/>
        </w:rPr>
        <w:t>a） 静止无功发生器环境特性应满足下表要求</w:t>
      </w:r>
    </w:p>
    <w:tbl>
      <w:tblPr>
        <w:tblStyle w:val="1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30"/>
        <w:gridCol w:w="2130"/>
        <w:gridCol w:w="2131"/>
        <w:gridCol w:w="213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0" w:type="dxa"/>
            <w:vAlign w:val="center"/>
          </w:tcPr>
          <w:p>
            <w:pPr>
              <w:pStyle w:val="37"/>
              <w:ind w:firstLine="0" w:firstLineChars="0"/>
              <w:jc w:val="center"/>
              <w:rPr>
                <w:rFonts w:hAnsi="宋体"/>
                <w:color w:val="auto"/>
                <w:sz w:val="21"/>
                <w:szCs w:val="21"/>
                <w:highlight w:val="none"/>
              </w:rPr>
            </w:pPr>
            <w:r>
              <w:rPr>
                <w:rFonts w:hint="eastAsia" w:hAnsi="宋体"/>
                <w:color w:val="auto"/>
                <w:sz w:val="21"/>
                <w:szCs w:val="21"/>
                <w:highlight w:val="none"/>
              </w:rPr>
              <w:t>环境特性</w:t>
            </w:r>
          </w:p>
        </w:tc>
        <w:tc>
          <w:tcPr>
            <w:tcW w:w="2130" w:type="dxa"/>
            <w:vAlign w:val="center"/>
          </w:tcPr>
          <w:p>
            <w:pPr>
              <w:pStyle w:val="37"/>
              <w:ind w:firstLine="0" w:firstLineChars="0"/>
              <w:jc w:val="center"/>
              <w:rPr>
                <w:rFonts w:hAnsi="宋体"/>
                <w:color w:val="auto"/>
                <w:sz w:val="21"/>
                <w:szCs w:val="21"/>
                <w:highlight w:val="none"/>
              </w:rPr>
            </w:pPr>
            <w:r>
              <w:rPr>
                <w:rFonts w:hint="eastAsia" w:hAnsi="宋体"/>
                <w:color w:val="auto"/>
                <w:sz w:val="21"/>
                <w:szCs w:val="21"/>
                <w:highlight w:val="none"/>
              </w:rPr>
              <w:t>单位</w:t>
            </w:r>
          </w:p>
        </w:tc>
        <w:tc>
          <w:tcPr>
            <w:tcW w:w="2131" w:type="dxa"/>
            <w:vAlign w:val="center"/>
          </w:tcPr>
          <w:p>
            <w:pPr>
              <w:pStyle w:val="37"/>
              <w:ind w:firstLine="0" w:firstLineChars="0"/>
              <w:jc w:val="center"/>
              <w:rPr>
                <w:rFonts w:hAnsi="宋体"/>
                <w:color w:val="auto"/>
                <w:sz w:val="21"/>
                <w:szCs w:val="21"/>
                <w:highlight w:val="none"/>
              </w:rPr>
            </w:pPr>
            <w:r>
              <w:rPr>
                <w:rFonts w:hint="eastAsia" w:hAnsi="宋体"/>
                <w:color w:val="auto"/>
                <w:sz w:val="21"/>
                <w:szCs w:val="21"/>
                <w:highlight w:val="none"/>
              </w:rPr>
              <w:t>标准要求值</w:t>
            </w:r>
          </w:p>
        </w:tc>
        <w:tc>
          <w:tcPr>
            <w:tcW w:w="2131" w:type="dxa"/>
            <w:vAlign w:val="center"/>
          </w:tcPr>
          <w:p>
            <w:pPr>
              <w:pStyle w:val="37"/>
              <w:ind w:firstLine="0" w:firstLineChars="0"/>
              <w:jc w:val="center"/>
              <w:rPr>
                <w:rFonts w:hAnsi="宋体"/>
                <w:color w:val="auto"/>
                <w:sz w:val="21"/>
                <w:szCs w:val="21"/>
                <w:highlight w:val="none"/>
              </w:rPr>
            </w:pPr>
            <w:r>
              <w:rPr>
                <w:rFonts w:hint="eastAsia" w:hAnsi="宋体"/>
                <w:color w:val="auto"/>
                <w:sz w:val="21"/>
                <w:szCs w:val="21"/>
                <w:highlight w:val="none"/>
              </w:rPr>
              <w:t>投标人响应值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0" w:type="dxa"/>
            <w:vAlign w:val="center"/>
          </w:tcPr>
          <w:p>
            <w:pPr>
              <w:pStyle w:val="37"/>
              <w:ind w:firstLine="0" w:firstLineChars="0"/>
              <w:jc w:val="center"/>
              <w:rPr>
                <w:rFonts w:hAnsi="宋体"/>
                <w:color w:val="auto"/>
                <w:spacing w:val="-2"/>
                <w:sz w:val="21"/>
                <w:szCs w:val="21"/>
                <w:highlight w:val="none"/>
              </w:rPr>
            </w:pPr>
            <w:r>
              <w:rPr>
                <w:rFonts w:hint="eastAsia" w:hAnsi="宋体"/>
                <w:color w:val="auto"/>
                <w:spacing w:val="-2"/>
                <w:sz w:val="21"/>
                <w:szCs w:val="21"/>
                <w:highlight w:val="none"/>
              </w:rPr>
              <w:t>海拔高度</w:t>
            </w:r>
          </w:p>
        </w:tc>
        <w:tc>
          <w:tcPr>
            <w:tcW w:w="2130" w:type="dxa"/>
            <w:vAlign w:val="center"/>
          </w:tcPr>
          <w:p>
            <w:pPr>
              <w:pStyle w:val="37"/>
              <w:ind w:firstLine="0" w:firstLineChars="0"/>
              <w:jc w:val="center"/>
              <w:rPr>
                <w:rFonts w:hAnsi="宋体"/>
                <w:color w:val="auto"/>
                <w:spacing w:val="-2"/>
                <w:sz w:val="21"/>
                <w:szCs w:val="21"/>
                <w:highlight w:val="none"/>
              </w:rPr>
            </w:pPr>
            <w:r>
              <w:rPr>
                <w:rFonts w:hint="eastAsia" w:hAnsi="宋体"/>
                <w:color w:val="auto"/>
                <w:spacing w:val="-2"/>
                <w:sz w:val="21"/>
                <w:szCs w:val="21"/>
                <w:highlight w:val="none"/>
              </w:rPr>
              <w:t>m</w:t>
            </w:r>
          </w:p>
        </w:tc>
        <w:tc>
          <w:tcPr>
            <w:tcW w:w="2131" w:type="dxa"/>
            <w:vAlign w:val="center"/>
          </w:tcPr>
          <w:p>
            <w:pPr>
              <w:tabs>
                <w:tab w:val="left" w:pos="3112"/>
                <w:tab w:val="left" w:pos="5344"/>
              </w:tabs>
              <w:autoSpaceDE w:val="0"/>
              <w:autoSpaceDN w:val="0"/>
              <w:adjustRightInd w:val="0"/>
              <w:spacing w:before="184" w:line="184" w:lineRule="exact"/>
              <w:jc w:val="center"/>
              <w:rPr>
                <w:rFonts w:ascii="宋体" w:hAnsi="宋体"/>
                <w:color w:val="auto"/>
                <w:spacing w:val="-2"/>
                <w:kern w:val="0"/>
                <w:szCs w:val="21"/>
                <w:highlight w:val="none"/>
              </w:rPr>
            </w:pPr>
            <w:r>
              <w:rPr>
                <w:rFonts w:hint="eastAsia" w:ascii="宋体" w:hAnsi="宋体"/>
                <w:color w:val="auto"/>
                <w:spacing w:val="-2"/>
                <w:kern w:val="0"/>
                <w:szCs w:val="21"/>
                <w:highlight w:val="none"/>
              </w:rPr>
              <w:t>≤1500</w:t>
            </w:r>
          </w:p>
        </w:tc>
        <w:tc>
          <w:tcPr>
            <w:tcW w:w="2131" w:type="dxa"/>
            <w:vAlign w:val="center"/>
          </w:tcPr>
          <w:p>
            <w:pPr>
              <w:pStyle w:val="37"/>
              <w:ind w:firstLine="0" w:firstLineChars="0"/>
              <w:jc w:val="center"/>
              <w:rPr>
                <w:rFonts w:hAnsi="宋体"/>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0" w:type="dxa"/>
            <w:vAlign w:val="center"/>
          </w:tcPr>
          <w:p>
            <w:pPr>
              <w:pStyle w:val="37"/>
              <w:ind w:firstLine="0" w:firstLineChars="0"/>
              <w:jc w:val="center"/>
              <w:rPr>
                <w:rFonts w:hAnsi="宋体"/>
                <w:color w:val="auto"/>
                <w:spacing w:val="-2"/>
                <w:sz w:val="21"/>
                <w:szCs w:val="21"/>
                <w:highlight w:val="none"/>
              </w:rPr>
            </w:pPr>
            <w:r>
              <w:rPr>
                <w:rFonts w:hint="eastAsia" w:hAnsi="宋体"/>
                <w:color w:val="auto"/>
                <w:spacing w:val="-2"/>
                <w:sz w:val="21"/>
                <w:szCs w:val="21"/>
                <w:highlight w:val="none"/>
              </w:rPr>
              <w:t>相对湿度</w:t>
            </w:r>
          </w:p>
        </w:tc>
        <w:tc>
          <w:tcPr>
            <w:tcW w:w="2130" w:type="dxa"/>
            <w:vAlign w:val="center"/>
          </w:tcPr>
          <w:p>
            <w:pPr>
              <w:pStyle w:val="37"/>
              <w:ind w:firstLine="0" w:firstLineChars="0"/>
              <w:jc w:val="center"/>
              <w:rPr>
                <w:rFonts w:hAnsi="宋体"/>
                <w:color w:val="auto"/>
                <w:spacing w:val="-2"/>
                <w:sz w:val="21"/>
                <w:szCs w:val="21"/>
                <w:highlight w:val="none"/>
              </w:rPr>
            </w:pPr>
            <w:r>
              <w:rPr>
                <w:rFonts w:hint="eastAsia" w:hAnsi="宋体"/>
                <w:color w:val="auto"/>
                <w:spacing w:val="-2"/>
                <w:sz w:val="21"/>
                <w:szCs w:val="21"/>
                <w:highlight w:val="none"/>
              </w:rPr>
              <w:t>%</w:t>
            </w:r>
          </w:p>
        </w:tc>
        <w:tc>
          <w:tcPr>
            <w:tcW w:w="2131" w:type="dxa"/>
            <w:vAlign w:val="center"/>
          </w:tcPr>
          <w:p>
            <w:pPr>
              <w:tabs>
                <w:tab w:val="left" w:pos="3112"/>
                <w:tab w:val="left" w:pos="5344"/>
              </w:tabs>
              <w:autoSpaceDE w:val="0"/>
              <w:autoSpaceDN w:val="0"/>
              <w:adjustRightInd w:val="0"/>
              <w:spacing w:before="184" w:line="184" w:lineRule="exact"/>
              <w:jc w:val="center"/>
              <w:rPr>
                <w:rFonts w:hint="eastAsia" w:ascii="宋体" w:hAnsi="宋体"/>
                <w:color w:val="auto"/>
                <w:spacing w:val="-2"/>
                <w:kern w:val="0"/>
                <w:szCs w:val="21"/>
                <w:highlight w:val="none"/>
              </w:rPr>
            </w:pPr>
            <w:r>
              <w:rPr>
                <w:rFonts w:hint="eastAsia" w:ascii="宋体" w:hAnsi="宋体"/>
                <w:color w:val="auto"/>
                <w:spacing w:val="-2"/>
                <w:kern w:val="0"/>
                <w:szCs w:val="21"/>
                <w:highlight w:val="none"/>
              </w:rPr>
              <w:t>不小于99%</w:t>
            </w:r>
          </w:p>
        </w:tc>
        <w:tc>
          <w:tcPr>
            <w:tcW w:w="2131" w:type="dxa"/>
            <w:vAlign w:val="center"/>
          </w:tcPr>
          <w:p>
            <w:pPr>
              <w:pStyle w:val="37"/>
              <w:ind w:firstLine="0" w:firstLineChars="0"/>
              <w:jc w:val="center"/>
              <w:rPr>
                <w:rFonts w:hAnsi="宋体"/>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0" w:type="dxa"/>
            <w:vAlign w:val="center"/>
          </w:tcPr>
          <w:p>
            <w:pPr>
              <w:pStyle w:val="37"/>
              <w:ind w:firstLine="0" w:firstLineChars="0"/>
              <w:jc w:val="center"/>
              <w:rPr>
                <w:rFonts w:hAnsi="宋体"/>
                <w:color w:val="auto"/>
                <w:spacing w:val="-2"/>
                <w:sz w:val="21"/>
                <w:szCs w:val="21"/>
                <w:highlight w:val="none"/>
              </w:rPr>
            </w:pPr>
            <w:r>
              <w:rPr>
                <w:rFonts w:hint="eastAsia" w:hAnsi="宋体"/>
                <w:color w:val="auto"/>
                <w:spacing w:val="-2"/>
                <w:sz w:val="21"/>
                <w:szCs w:val="21"/>
                <w:highlight w:val="none"/>
              </w:rPr>
              <w:t>工作温度</w:t>
            </w:r>
          </w:p>
        </w:tc>
        <w:tc>
          <w:tcPr>
            <w:tcW w:w="2130" w:type="dxa"/>
            <w:vAlign w:val="center"/>
          </w:tcPr>
          <w:p>
            <w:pPr>
              <w:pStyle w:val="37"/>
              <w:ind w:firstLine="0" w:firstLineChars="0"/>
              <w:jc w:val="center"/>
              <w:rPr>
                <w:rFonts w:hAnsi="宋体"/>
                <w:color w:val="auto"/>
                <w:spacing w:val="-2"/>
                <w:sz w:val="21"/>
                <w:szCs w:val="21"/>
                <w:highlight w:val="none"/>
              </w:rPr>
            </w:pPr>
            <w:r>
              <w:rPr>
                <w:rFonts w:hint="eastAsia" w:hAnsi="宋体"/>
                <w:color w:val="auto"/>
                <w:spacing w:val="-2"/>
                <w:sz w:val="21"/>
                <w:szCs w:val="21"/>
                <w:highlight w:val="none"/>
              </w:rPr>
              <w:t>℃</w:t>
            </w:r>
          </w:p>
        </w:tc>
        <w:tc>
          <w:tcPr>
            <w:tcW w:w="2131" w:type="dxa"/>
            <w:vAlign w:val="center"/>
          </w:tcPr>
          <w:p>
            <w:pPr>
              <w:tabs>
                <w:tab w:val="left" w:pos="3112"/>
                <w:tab w:val="left" w:pos="5344"/>
              </w:tabs>
              <w:autoSpaceDE w:val="0"/>
              <w:autoSpaceDN w:val="0"/>
              <w:adjustRightInd w:val="0"/>
              <w:spacing w:before="184" w:line="184" w:lineRule="exact"/>
              <w:jc w:val="center"/>
              <w:rPr>
                <w:rFonts w:ascii="宋体" w:hAnsi="宋体"/>
                <w:color w:val="auto"/>
                <w:spacing w:val="-2"/>
                <w:kern w:val="0"/>
                <w:szCs w:val="21"/>
                <w:highlight w:val="none"/>
              </w:rPr>
            </w:pPr>
            <w:r>
              <w:rPr>
                <w:rFonts w:ascii="宋体" w:hAnsi="宋体"/>
                <w:color w:val="auto"/>
                <w:position w:val="-1"/>
                <w:szCs w:val="21"/>
                <w:highlight w:val="none"/>
              </w:rPr>
              <w:t>-</w:t>
            </w:r>
            <w:r>
              <w:rPr>
                <w:rFonts w:hint="eastAsia" w:ascii="宋体" w:hAnsi="宋体"/>
                <w:color w:val="auto"/>
                <w:position w:val="-1"/>
                <w:szCs w:val="21"/>
                <w:highlight w:val="none"/>
              </w:rPr>
              <w:t>5</w:t>
            </w:r>
            <w:r>
              <w:rPr>
                <w:rFonts w:ascii="宋体" w:hAnsi="宋体"/>
                <w:color w:val="auto"/>
                <w:position w:val="-1"/>
                <w:szCs w:val="21"/>
                <w:highlight w:val="none"/>
              </w:rPr>
              <w:t>~45</w:t>
            </w:r>
            <w:r>
              <w:rPr>
                <w:rFonts w:ascii="宋体" w:hAnsi="宋体"/>
                <w:color w:val="auto"/>
                <w:spacing w:val="-7"/>
                <w:position w:val="-1"/>
                <w:szCs w:val="21"/>
                <w:highlight w:val="none"/>
              </w:rPr>
              <w:t xml:space="preserve"> </w:t>
            </w:r>
            <w:r>
              <w:rPr>
                <w:rFonts w:ascii="宋体" w:hAnsi="宋体"/>
                <w:color w:val="auto"/>
                <w:position w:val="-1"/>
                <w:szCs w:val="21"/>
                <w:highlight w:val="none"/>
              </w:rPr>
              <w:t>度</w:t>
            </w:r>
          </w:p>
        </w:tc>
        <w:tc>
          <w:tcPr>
            <w:tcW w:w="2131" w:type="dxa"/>
            <w:vAlign w:val="center"/>
          </w:tcPr>
          <w:p>
            <w:pPr>
              <w:pStyle w:val="37"/>
              <w:ind w:firstLine="0" w:firstLineChars="0"/>
              <w:jc w:val="center"/>
              <w:rPr>
                <w:rFonts w:hAnsi="宋体"/>
                <w:color w:val="auto"/>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130" w:type="dxa"/>
            <w:vAlign w:val="center"/>
          </w:tcPr>
          <w:p>
            <w:pPr>
              <w:pStyle w:val="37"/>
              <w:ind w:firstLine="0" w:firstLineChars="0"/>
              <w:jc w:val="center"/>
              <w:rPr>
                <w:rFonts w:hAnsi="宋体"/>
                <w:color w:val="auto"/>
                <w:spacing w:val="-2"/>
                <w:sz w:val="21"/>
                <w:szCs w:val="21"/>
                <w:highlight w:val="none"/>
              </w:rPr>
            </w:pPr>
            <w:r>
              <w:rPr>
                <w:rFonts w:hint="eastAsia" w:hAnsi="宋体"/>
                <w:color w:val="auto"/>
                <w:spacing w:val="-2"/>
                <w:sz w:val="21"/>
                <w:szCs w:val="21"/>
                <w:highlight w:val="none"/>
              </w:rPr>
              <w:t>储运温度</w:t>
            </w:r>
          </w:p>
        </w:tc>
        <w:tc>
          <w:tcPr>
            <w:tcW w:w="2130" w:type="dxa"/>
            <w:vAlign w:val="center"/>
          </w:tcPr>
          <w:p>
            <w:pPr>
              <w:pStyle w:val="37"/>
              <w:ind w:firstLine="0" w:firstLineChars="0"/>
              <w:jc w:val="center"/>
              <w:rPr>
                <w:rFonts w:hAnsi="宋体"/>
                <w:color w:val="auto"/>
                <w:spacing w:val="-2"/>
                <w:sz w:val="21"/>
                <w:szCs w:val="21"/>
                <w:highlight w:val="none"/>
              </w:rPr>
            </w:pPr>
            <w:r>
              <w:rPr>
                <w:rFonts w:hint="eastAsia" w:hAnsi="宋体"/>
                <w:color w:val="auto"/>
                <w:spacing w:val="-2"/>
                <w:sz w:val="21"/>
                <w:szCs w:val="21"/>
                <w:highlight w:val="none"/>
              </w:rPr>
              <w:t>℃</w:t>
            </w:r>
          </w:p>
        </w:tc>
        <w:tc>
          <w:tcPr>
            <w:tcW w:w="2131" w:type="dxa"/>
            <w:vAlign w:val="center"/>
          </w:tcPr>
          <w:p>
            <w:pPr>
              <w:tabs>
                <w:tab w:val="left" w:pos="3112"/>
                <w:tab w:val="left" w:pos="5344"/>
              </w:tabs>
              <w:autoSpaceDE w:val="0"/>
              <w:autoSpaceDN w:val="0"/>
              <w:adjustRightInd w:val="0"/>
              <w:spacing w:before="184" w:line="184" w:lineRule="exact"/>
              <w:jc w:val="center"/>
              <w:rPr>
                <w:rFonts w:ascii="宋体" w:hAnsi="宋体"/>
                <w:color w:val="auto"/>
                <w:spacing w:val="-2"/>
                <w:kern w:val="0"/>
                <w:szCs w:val="21"/>
                <w:highlight w:val="none"/>
              </w:rPr>
            </w:pPr>
            <w:r>
              <w:rPr>
                <w:rFonts w:hint="eastAsia" w:ascii="宋体" w:hAnsi="宋体"/>
                <w:color w:val="auto"/>
                <w:spacing w:val="-2"/>
                <w:kern w:val="0"/>
                <w:szCs w:val="21"/>
                <w:highlight w:val="none"/>
              </w:rPr>
              <w:t>-20</w:t>
            </w:r>
            <w:r>
              <w:rPr>
                <w:rFonts w:ascii="宋体" w:hAnsi="宋体"/>
                <w:color w:val="auto"/>
                <w:szCs w:val="21"/>
                <w:highlight w:val="none"/>
              </w:rPr>
              <w:t>~</w:t>
            </w:r>
            <w:r>
              <w:rPr>
                <w:rFonts w:hint="eastAsia" w:ascii="宋体" w:hAnsi="宋体"/>
                <w:color w:val="auto"/>
                <w:spacing w:val="-2"/>
                <w:kern w:val="0"/>
                <w:szCs w:val="21"/>
                <w:highlight w:val="none"/>
              </w:rPr>
              <w:t>50</w:t>
            </w:r>
          </w:p>
        </w:tc>
        <w:tc>
          <w:tcPr>
            <w:tcW w:w="2131" w:type="dxa"/>
            <w:vAlign w:val="center"/>
          </w:tcPr>
          <w:p>
            <w:pPr>
              <w:pStyle w:val="37"/>
              <w:ind w:firstLine="0" w:firstLineChars="0"/>
              <w:jc w:val="center"/>
              <w:rPr>
                <w:rFonts w:hAnsi="宋体"/>
                <w:color w:val="auto"/>
                <w:sz w:val="21"/>
                <w:szCs w:val="21"/>
                <w:highlight w:val="none"/>
              </w:rPr>
            </w:pPr>
          </w:p>
        </w:tc>
      </w:tr>
    </w:tbl>
    <w:p>
      <w:pPr>
        <w:topLinePunct/>
        <w:spacing w:line="360" w:lineRule="auto"/>
        <w:jc w:val="left"/>
        <w:rPr>
          <w:rFonts w:ascii="宋体" w:hAnsi="宋体"/>
          <w:color w:val="auto"/>
          <w:szCs w:val="21"/>
          <w:highlight w:val="none"/>
        </w:rPr>
      </w:pPr>
      <w:r>
        <w:rPr>
          <w:rFonts w:hint="eastAsia" w:ascii="宋体" w:hAnsi="宋体"/>
          <w:color w:val="auto"/>
          <w:szCs w:val="21"/>
          <w:highlight w:val="none"/>
        </w:rPr>
        <w:t>b</w:t>
      </w:r>
      <w:r>
        <w:rPr>
          <w:rFonts w:ascii="宋体" w:hAnsi="宋体"/>
          <w:color w:val="auto"/>
          <w:szCs w:val="21"/>
          <w:highlight w:val="none"/>
        </w:rPr>
        <w:t>)</w:t>
      </w:r>
      <w:r>
        <w:rPr>
          <w:rFonts w:hint="eastAsia" w:ascii="宋体" w:hAnsi="宋体"/>
          <w:color w:val="auto"/>
          <w:szCs w:val="21"/>
          <w:highlight w:val="none"/>
        </w:rPr>
        <w:t xml:space="preserve"> 静止无功发生器交流输入电源应满足下表要求</w:t>
      </w:r>
    </w:p>
    <w:tbl>
      <w:tblPr>
        <w:tblStyle w:val="1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840"/>
        <w:gridCol w:w="3080"/>
        <w:gridCol w:w="26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40"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电网参数</w:t>
            </w:r>
          </w:p>
        </w:tc>
        <w:tc>
          <w:tcPr>
            <w:tcW w:w="3080"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标准要求值</w:t>
            </w:r>
          </w:p>
        </w:tc>
        <w:tc>
          <w:tcPr>
            <w:tcW w:w="2602"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投标人响应值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40"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额定交流输入线电压</w:t>
            </w:r>
          </w:p>
        </w:tc>
        <w:tc>
          <w:tcPr>
            <w:tcW w:w="3080"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400V</w:t>
            </w:r>
          </w:p>
        </w:tc>
        <w:tc>
          <w:tcPr>
            <w:tcW w:w="2602" w:type="dxa"/>
            <w:vAlign w:val="center"/>
          </w:tcPr>
          <w:p>
            <w:pPr>
              <w:topLinePunct/>
              <w:spacing w:line="300" w:lineRule="exact"/>
              <w:jc w:val="center"/>
              <w:rPr>
                <w:rFonts w:ascii="宋体" w:hAnsi="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40"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输入相电压范围</w:t>
            </w:r>
          </w:p>
        </w:tc>
        <w:tc>
          <w:tcPr>
            <w:tcW w:w="3080"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138V</w:t>
            </w:r>
            <w:r>
              <w:rPr>
                <w:rFonts w:ascii="宋体" w:hAnsi="宋体"/>
                <w:color w:val="auto"/>
                <w:szCs w:val="21"/>
                <w:highlight w:val="none"/>
              </w:rPr>
              <w:t>~</w:t>
            </w:r>
            <w:r>
              <w:rPr>
                <w:rFonts w:hint="eastAsia" w:ascii="宋体" w:hAnsi="宋体"/>
                <w:color w:val="auto"/>
                <w:szCs w:val="21"/>
                <w:highlight w:val="none"/>
              </w:rPr>
              <w:t>265V</w:t>
            </w:r>
          </w:p>
        </w:tc>
        <w:tc>
          <w:tcPr>
            <w:tcW w:w="2602" w:type="dxa"/>
            <w:vAlign w:val="center"/>
          </w:tcPr>
          <w:p>
            <w:pPr>
              <w:topLinePunct/>
              <w:spacing w:line="300" w:lineRule="exact"/>
              <w:jc w:val="center"/>
              <w:rPr>
                <w:rFonts w:ascii="宋体" w:hAnsi="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840"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输入频率</w:t>
            </w:r>
          </w:p>
        </w:tc>
        <w:tc>
          <w:tcPr>
            <w:tcW w:w="3080"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50Hz自适应</w:t>
            </w:r>
          </w:p>
        </w:tc>
        <w:tc>
          <w:tcPr>
            <w:tcW w:w="2602" w:type="dxa"/>
            <w:vAlign w:val="center"/>
          </w:tcPr>
          <w:p>
            <w:pPr>
              <w:topLinePunct/>
              <w:spacing w:line="300" w:lineRule="exact"/>
              <w:jc w:val="center"/>
              <w:rPr>
                <w:rFonts w:ascii="宋体" w:hAnsi="宋体"/>
                <w:color w:val="auto"/>
                <w:szCs w:val="21"/>
                <w:highlight w:val="none"/>
              </w:rPr>
            </w:pPr>
          </w:p>
        </w:tc>
      </w:tr>
    </w:tbl>
    <w:p>
      <w:pPr>
        <w:topLinePunct/>
        <w:spacing w:line="360" w:lineRule="auto"/>
        <w:jc w:val="left"/>
        <w:rPr>
          <w:rFonts w:ascii="宋体" w:hAnsi="宋体"/>
          <w:color w:val="auto"/>
          <w:szCs w:val="21"/>
          <w:highlight w:val="none"/>
        </w:rPr>
      </w:pPr>
      <w:r>
        <w:rPr>
          <w:rFonts w:hint="eastAsia" w:ascii="宋体" w:hAnsi="宋体"/>
          <w:color w:val="auto"/>
          <w:szCs w:val="21"/>
          <w:highlight w:val="none"/>
        </w:rPr>
        <w:t>c</w:t>
      </w:r>
      <w:r>
        <w:rPr>
          <w:rFonts w:ascii="宋体" w:hAnsi="宋体"/>
          <w:color w:val="auto"/>
          <w:szCs w:val="21"/>
          <w:highlight w:val="none"/>
        </w:rPr>
        <w:t>)</w:t>
      </w:r>
      <w:r>
        <w:rPr>
          <w:rFonts w:hint="eastAsia" w:ascii="宋体" w:hAnsi="宋体"/>
          <w:color w:val="auto"/>
          <w:szCs w:val="21"/>
          <w:highlight w:val="none"/>
        </w:rPr>
        <w:t xml:space="preserve"> 静止无功发生器应满足下表要求</w:t>
      </w:r>
    </w:p>
    <w:tbl>
      <w:tblPr>
        <w:tblStyle w:val="1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96"/>
        <w:gridCol w:w="3324"/>
        <w:gridCol w:w="26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96"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电网参数</w:t>
            </w:r>
          </w:p>
        </w:tc>
        <w:tc>
          <w:tcPr>
            <w:tcW w:w="3324"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标准要求值</w:t>
            </w:r>
          </w:p>
        </w:tc>
        <w:tc>
          <w:tcPr>
            <w:tcW w:w="2602"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投标人响应值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96"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装置结构</w:t>
            </w:r>
          </w:p>
        </w:tc>
        <w:tc>
          <w:tcPr>
            <w:tcW w:w="3324"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模块化</w:t>
            </w:r>
          </w:p>
        </w:tc>
        <w:tc>
          <w:tcPr>
            <w:tcW w:w="2602" w:type="dxa"/>
            <w:vAlign w:val="center"/>
          </w:tcPr>
          <w:p>
            <w:pPr>
              <w:topLinePunct/>
              <w:spacing w:line="300" w:lineRule="exact"/>
              <w:jc w:val="center"/>
              <w:rPr>
                <w:rFonts w:ascii="宋体" w:hAnsi="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96"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无功补偿范围</w:t>
            </w:r>
          </w:p>
        </w:tc>
        <w:tc>
          <w:tcPr>
            <w:tcW w:w="3324"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100kvar</w:t>
            </w:r>
          </w:p>
        </w:tc>
        <w:tc>
          <w:tcPr>
            <w:tcW w:w="2602" w:type="dxa"/>
            <w:vAlign w:val="center"/>
          </w:tcPr>
          <w:p>
            <w:pPr>
              <w:topLinePunct/>
              <w:spacing w:line="300" w:lineRule="exact"/>
              <w:jc w:val="center"/>
              <w:rPr>
                <w:rFonts w:ascii="宋体" w:hAnsi="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96"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交流采样准确度</w:t>
            </w:r>
          </w:p>
        </w:tc>
        <w:tc>
          <w:tcPr>
            <w:tcW w:w="3324"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0.2S</w:t>
            </w:r>
          </w:p>
        </w:tc>
        <w:tc>
          <w:tcPr>
            <w:tcW w:w="2602" w:type="dxa"/>
            <w:vAlign w:val="center"/>
          </w:tcPr>
          <w:p>
            <w:pPr>
              <w:topLinePunct/>
              <w:spacing w:line="300" w:lineRule="exact"/>
              <w:jc w:val="center"/>
              <w:rPr>
                <w:rFonts w:ascii="宋体" w:hAnsi="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9" w:hRule="atLeast"/>
        </w:trPr>
        <w:tc>
          <w:tcPr>
            <w:tcW w:w="2596" w:type="dxa"/>
            <w:tcBorders>
              <w:bottom w:val="single" w:color="auto" w:sz="4" w:space="0"/>
            </w:tcBorders>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无功补偿分辨率</w:t>
            </w:r>
          </w:p>
        </w:tc>
        <w:tc>
          <w:tcPr>
            <w:tcW w:w="3324" w:type="dxa"/>
            <w:tcBorders>
              <w:bottom w:val="single" w:color="auto" w:sz="4" w:space="0"/>
            </w:tcBorders>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0.01</w:t>
            </w:r>
          </w:p>
        </w:tc>
        <w:tc>
          <w:tcPr>
            <w:tcW w:w="2602" w:type="dxa"/>
            <w:tcBorders>
              <w:bottom w:val="single" w:color="auto" w:sz="4" w:space="0"/>
            </w:tcBorders>
            <w:vAlign w:val="center"/>
          </w:tcPr>
          <w:p>
            <w:pPr>
              <w:topLinePunct/>
              <w:spacing w:line="300" w:lineRule="exact"/>
              <w:jc w:val="center"/>
              <w:rPr>
                <w:rFonts w:ascii="宋体" w:hAnsi="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0" w:hRule="atLeast"/>
        </w:trPr>
        <w:tc>
          <w:tcPr>
            <w:tcW w:w="2596" w:type="dxa"/>
            <w:tcBorders>
              <w:top w:val="single" w:color="auto" w:sz="4" w:space="0"/>
            </w:tcBorders>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谐波治理功能</w:t>
            </w:r>
          </w:p>
        </w:tc>
        <w:tc>
          <w:tcPr>
            <w:tcW w:w="3324" w:type="dxa"/>
            <w:tcBorders>
              <w:top w:val="single" w:color="auto" w:sz="4" w:space="0"/>
            </w:tcBorders>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可独立设置各滤波次数</w:t>
            </w:r>
          </w:p>
        </w:tc>
        <w:tc>
          <w:tcPr>
            <w:tcW w:w="2602" w:type="dxa"/>
            <w:tcBorders>
              <w:top w:val="single" w:color="auto" w:sz="4" w:space="0"/>
            </w:tcBorders>
            <w:vAlign w:val="center"/>
          </w:tcPr>
          <w:p>
            <w:pPr>
              <w:topLinePunct/>
              <w:spacing w:line="300" w:lineRule="exact"/>
              <w:jc w:val="center"/>
              <w:rPr>
                <w:rFonts w:ascii="宋体" w:hAnsi="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96"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可承受电压波动范围</w:t>
            </w:r>
          </w:p>
        </w:tc>
        <w:tc>
          <w:tcPr>
            <w:tcW w:w="3324"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-40%</w:t>
            </w:r>
            <w:r>
              <w:rPr>
                <w:rFonts w:ascii="宋体" w:hAnsi="宋体"/>
                <w:color w:val="auto"/>
                <w:szCs w:val="21"/>
                <w:highlight w:val="none"/>
              </w:rPr>
              <w:t>~</w:t>
            </w:r>
            <w:r>
              <w:rPr>
                <w:rFonts w:hint="eastAsia" w:ascii="宋体" w:hAnsi="宋体"/>
                <w:color w:val="auto"/>
                <w:szCs w:val="21"/>
                <w:highlight w:val="none"/>
              </w:rPr>
              <w:t>20%</w:t>
            </w:r>
          </w:p>
        </w:tc>
        <w:tc>
          <w:tcPr>
            <w:tcW w:w="2602" w:type="dxa"/>
            <w:vAlign w:val="center"/>
          </w:tcPr>
          <w:p>
            <w:pPr>
              <w:topLinePunct/>
              <w:spacing w:line="300" w:lineRule="exact"/>
              <w:jc w:val="center"/>
              <w:rPr>
                <w:rFonts w:ascii="宋体" w:hAnsi="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96"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人机接口界面</w:t>
            </w:r>
          </w:p>
        </w:tc>
        <w:tc>
          <w:tcPr>
            <w:tcW w:w="3324"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液晶、触摸操作</w:t>
            </w:r>
          </w:p>
        </w:tc>
        <w:tc>
          <w:tcPr>
            <w:tcW w:w="2602" w:type="dxa"/>
            <w:vAlign w:val="center"/>
          </w:tcPr>
          <w:p>
            <w:pPr>
              <w:topLinePunct/>
              <w:spacing w:line="300" w:lineRule="exact"/>
              <w:jc w:val="center"/>
              <w:rPr>
                <w:rFonts w:ascii="宋体" w:hAnsi="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96"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外壳材质</w:t>
            </w:r>
          </w:p>
        </w:tc>
        <w:tc>
          <w:tcPr>
            <w:tcW w:w="3324"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模块采用镀锌板</w:t>
            </w:r>
          </w:p>
        </w:tc>
        <w:tc>
          <w:tcPr>
            <w:tcW w:w="2602" w:type="dxa"/>
            <w:vAlign w:val="center"/>
          </w:tcPr>
          <w:p>
            <w:pPr>
              <w:topLinePunct/>
              <w:spacing w:line="300" w:lineRule="exact"/>
              <w:jc w:val="center"/>
              <w:rPr>
                <w:rFonts w:ascii="宋体" w:hAnsi="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96"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扩容能力</w:t>
            </w:r>
          </w:p>
        </w:tc>
        <w:tc>
          <w:tcPr>
            <w:tcW w:w="3324" w:type="dxa"/>
            <w:vAlign w:val="center"/>
          </w:tcPr>
          <w:p>
            <w:pPr>
              <w:topLinePunct/>
              <w:spacing w:line="300" w:lineRule="exact"/>
              <w:jc w:val="center"/>
              <w:rPr>
                <w:rFonts w:ascii="宋体" w:hAnsi="宋体"/>
                <w:color w:val="auto"/>
                <w:szCs w:val="21"/>
                <w:highlight w:val="none"/>
              </w:rPr>
            </w:pPr>
            <w:r>
              <w:rPr>
                <w:rFonts w:hint="eastAsia" w:ascii="宋体" w:hAnsi="宋体"/>
                <w:color w:val="auto"/>
                <w:szCs w:val="21"/>
                <w:highlight w:val="none"/>
              </w:rPr>
              <w:t>支持多模块并联使用</w:t>
            </w:r>
          </w:p>
        </w:tc>
        <w:tc>
          <w:tcPr>
            <w:tcW w:w="2602" w:type="dxa"/>
            <w:vAlign w:val="center"/>
          </w:tcPr>
          <w:p>
            <w:pPr>
              <w:topLinePunct/>
              <w:spacing w:line="300" w:lineRule="exact"/>
              <w:jc w:val="center"/>
              <w:rPr>
                <w:rFonts w:ascii="宋体" w:hAnsi="宋体"/>
                <w:color w:val="auto"/>
                <w:szCs w:val="21"/>
                <w:highlight w:val="none"/>
              </w:rPr>
            </w:pPr>
          </w:p>
        </w:tc>
      </w:tr>
    </w:tbl>
    <w:p>
      <w:pPr>
        <w:pStyle w:val="3"/>
        <w:rPr>
          <w:rFonts w:ascii="宋体" w:hAnsi="宋体"/>
          <w:color w:val="auto"/>
          <w:szCs w:val="21"/>
          <w:highlight w:val="none"/>
        </w:rPr>
      </w:pPr>
      <w:bookmarkStart w:id="170" w:name="_Toc463790500"/>
      <w:bookmarkStart w:id="171" w:name="_Toc429321067"/>
      <w:r>
        <w:rPr>
          <w:rFonts w:hint="eastAsia" w:ascii="宋体" w:hAnsi="宋体"/>
          <w:color w:val="auto"/>
          <w:szCs w:val="21"/>
          <w:highlight w:val="none"/>
        </w:rPr>
        <w:t>2  随机提供技术资料表</w:t>
      </w:r>
      <w:bookmarkEnd w:id="170"/>
      <w:bookmarkEnd w:id="171"/>
    </w:p>
    <w:tbl>
      <w:tblPr>
        <w:tblStyle w:val="15"/>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79"/>
        <w:gridCol w:w="4155"/>
        <w:gridCol w:w="851"/>
        <w:gridCol w:w="1276"/>
        <w:gridCol w:w="120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1079" w:type="dxa"/>
            <w:tcMar>
              <w:left w:w="108" w:type="dxa"/>
              <w:right w:w="108" w:type="dxa"/>
            </w:tcMar>
            <w:vAlign w:val="center"/>
          </w:tcPr>
          <w:p>
            <w:pPr>
              <w:snapToGrid w:val="0"/>
              <w:spacing w:line="400" w:lineRule="exact"/>
              <w:jc w:val="center"/>
              <w:rPr>
                <w:rFonts w:ascii="宋体" w:hAnsi="宋体"/>
                <w:b/>
                <w:color w:val="auto"/>
                <w:szCs w:val="21"/>
                <w:highlight w:val="none"/>
              </w:rPr>
            </w:pPr>
            <w:r>
              <w:rPr>
                <w:rFonts w:hint="eastAsia" w:ascii="宋体" w:hAnsi="宋体"/>
                <w:b/>
                <w:color w:val="auto"/>
                <w:szCs w:val="21"/>
                <w:highlight w:val="none"/>
              </w:rPr>
              <w:t>序号</w:t>
            </w:r>
          </w:p>
        </w:tc>
        <w:tc>
          <w:tcPr>
            <w:tcW w:w="4155" w:type="dxa"/>
            <w:tcBorders>
              <w:bottom w:val="single" w:color="auto" w:sz="4" w:space="0"/>
            </w:tcBorders>
            <w:tcMar>
              <w:left w:w="108" w:type="dxa"/>
              <w:right w:w="108" w:type="dxa"/>
            </w:tcMar>
            <w:vAlign w:val="center"/>
          </w:tcPr>
          <w:p>
            <w:pPr>
              <w:snapToGrid w:val="0"/>
              <w:spacing w:line="400" w:lineRule="exact"/>
              <w:jc w:val="center"/>
              <w:rPr>
                <w:rFonts w:ascii="宋体" w:hAnsi="宋体"/>
                <w:b/>
                <w:color w:val="auto"/>
                <w:szCs w:val="21"/>
                <w:highlight w:val="none"/>
              </w:rPr>
            </w:pPr>
            <w:r>
              <w:rPr>
                <w:rFonts w:hint="eastAsia" w:ascii="宋体" w:hAnsi="宋体"/>
                <w:b/>
                <w:color w:val="auto"/>
                <w:szCs w:val="21"/>
                <w:highlight w:val="none"/>
              </w:rPr>
              <w:t>内容</w:t>
            </w:r>
          </w:p>
        </w:tc>
        <w:tc>
          <w:tcPr>
            <w:tcW w:w="851" w:type="dxa"/>
            <w:tcBorders>
              <w:bottom w:val="single" w:color="auto" w:sz="4" w:space="0"/>
              <w:right w:val="single" w:color="auto" w:sz="4" w:space="0"/>
            </w:tcBorders>
            <w:tcMar>
              <w:left w:w="108" w:type="dxa"/>
              <w:right w:w="108" w:type="dxa"/>
            </w:tcMar>
            <w:vAlign w:val="center"/>
          </w:tcPr>
          <w:p>
            <w:pPr>
              <w:snapToGrid w:val="0"/>
              <w:spacing w:line="400" w:lineRule="exact"/>
              <w:jc w:val="center"/>
              <w:rPr>
                <w:rFonts w:ascii="宋体" w:hAnsi="宋体"/>
                <w:b/>
                <w:color w:val="auto"/>
                <w:szCs w:val="21"/>
                <w:highlight w:val="none"/>
              </w:rPr>
            </w:pPr>
            <w:r>
              <w:rPr>
                <w:rFonts w:hint="eastAsia" w:ascii="宋体" w:hAnsi="宋体"/>
                <w:b/>
                <w:color w:val="auto"/>
                <w:szCs w:val="21"/>
                <w:highlight w:val="none"/>
              </w:rPr>
              <w:t>份数</w:t>
            </w:r>
          </w:p>
        </w:tc>
        <w:tc>
          <w:tcPr>
            <w:tcW w:w="1276" w:type="dxa"/>
            <w:tcBorders>
              <w:left w:val="single" w:color="auto" w:sz="4" w:space="0"/>
              <w:bottom w:val="single" w:color="auto" w:sz="4" w:space="0"/>
              <w:right w:val="single" w:color="auto" w:sz="4" w:space="0"/>
            </w:tcBorders>
            <w:tcMar>
              <w:left w:w="108" w:type="dxa"/>
              <w:right w:w="108" w:type="dxa"/>
            </w:tcMar>
            <w:vAlign w:val="center"/>
          </w:tcPr>
          <w:p>
            <w:pPr>
              <w:snapToGrid w:val="0"/>
              <w:spacing w:line="400" w:lineRule="exact"/>
              <w:jc w:val="center"/>
              <w:rPr>
                <w:rFonts w:ascii="宋体" w:hAnsi="宋体"/>
                <w:b/>
                <w:color w:val="auto"/>
                <w:szCs w:val="21"/>
                <w:highlight w:val="none"/>
              </w:rPr>
            </w:pPr>
            <w:r>
              <w:rPr>
                <w:rFonts w:hint="eastAsia" w:ascii="宋体" w:hAnsi="宋体"/>
                <w:b/>
                <w:color w:val="auto"/>
                <w:szCs w:val="21"/>
                <w:highlight w:val="none"/>
              </w:rPr>
              <w:t>交付时间</w:t>
            </w:r>
          </w:p>
        </w:tc>
        <w:tc>
          <w:tcPr>
            <w:tcW w:w="1207" w:type="dxa"/>
            <w:tcBorders>
              <w:left w:val="single" w:color="auto" w:sz="4" w:space="0"/>
              <w:bottom w:val="single" w:color="auto" w:sz="4" w:space="0"/>
            </w:tcBorders>
            <w:tcMar>
              <w:left w:w="108" w:type="dxa"/>
              <w:right w:w="108" w:type="dxa"/>
            </w:tcMar>
            <w:vAlign w:val="center"/>
          </w:tcPr>
          <w:p>
            <w:pPr>
              <w:snapToGrid w:val="0"/>
              <w:spacing w:line="400" w:lineRule="exact"/>
              <w:jc w:val="center"/>
              <w:rPr>
                <w:rFonts w:ascii="宋体" w:hAnsi="宋体"/>
                <w:b/>
                <w:color w:val="auto"/>
                <w:szCs w:val="21"/>
                <w:highlight w:val="none"/>
              </w:rPr>
            </w:pPr>
            <w:r>
              <w:rPr>
                <w:rFonts w:hint="eastAsia" w:ascii="宋体" w:hAnsi="宋体"/>
                <w:b/>
                <w:color w:val="auto"/>
                <w:szCs w:val="21"/>
                <w:highlight w:val="none"/>
              </w:rPr>
              <w:t>收图单位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97" w:hRule="atLeast"/>
          <w:jc w:val="center"/>
        </w:trPr>
        <w:tc>
          <w:tcPr>
            <w:tcW w:w="1079" w:type="dxa"/>
            <w:tcMar>
              <w:left w:w="108" w:type="dxa"/>
              <w:right w:w="108" w:type="dxa"/>
            </w:tcMar>
            <w:vAlign w:val="center"/>
          </w:tcPr>
          <w:p>
            <w:pPr>
              <w:snapToGrid w:val="0"/>
              <w:spacing w:line="400" w:lineRule="exact"/>
              <w:jc w:val="center"/>
              <w:rPr>
                <w:rFonts w:ascii="宋体" w:hAnsi="宋体"/>
                <w:b/>
                <w:color w:val="auto"/>
                <w:szCs w:val="21"/>
                <w:highlight w:val="none"/>
              </w:rPr>
            </w:pPr>
            <w:r>
              <w:rPr>
                <w:rFonts w:ascii="宋体" w:hAnsi="宋体"/>
                <w:b/>
                <w:color w:val="auto"/>
                <w:szCs w:val="21"/>
                <w:highlight w:val="none"/>
              </w:rPr>
              <w:t>1</w:t>
            </w:r>
          </w:p>
        </w:tc>
        <w:tc>
          <w:tcPr>
            <w:tcW w:w="4155" w:type="dxa"/>
            <w:tcMar>
              <w:left w:w="108" w:type="dxa"/>
              <w:right w:w="108" w:type="dxa"/>
            </w:tcMar>
            <w:vAlign w:val="center"/>
          </w:tcPr>
          <w:p>
            <w:pPr>
              <w:snapToGrid w:val="0"/>
              <w:spacing w:line="400" w:lineRule="exact"/>
              <w:rPr>
                <w:rFonts w:ascii="宋体" w:hAnsi="宋体"/>
                <w:b/>
                <w:color w:val="auto"/>
                <w:szCs w:val="21"/>
                <w:highlight w:val="none"/>
              </w:rPr>
            </w:pPr>
            <w:r>
              <w:rPr>
                <w:rFonts w:hint="eastAsia" w:ascii="宋体" w:hAnsi="宋体"/>
                <w:b/>
                <w:color w:val="auto"/>
                <w:szCs w:val="21"/>
                <w:highlight w:val="none"/>
              </w:rPr>
              <w:t>图纸及安装使用说明书</w:t>
            </w:r>
          </w:p>
        </w:tc>
        <w:tc>
          <w:tcPr>
            <w:tcW w:w="851" w:type="dxa"/>
            <w:tcBorders>
              <w:bottom w:val="single" w:color="auto" w:sz="4" w:space="0"/>
              <w:right w:val="single" w:color="auto" w:sz="4" w:space="0"/>
            </w:tcBorders>
            <w:tcMar>
              <w:left w:w="108" w:type="dxa"/>
              <w:right w:w="108" w:type="dxa"/>
            </w:tcMar>
            <w:vAlign w:val="center"/>
          </w:tcPr>
          <w:p>
            <w:pPr>
              <w:pStyle w:val="10"/>
              <w:tabs>
                <w:tab w:val="center" w:pos="4320"/>
                <w:tab w:val="right" w:pos="8640"/>
              </w:tabs>
              <w:spacing w:line="400" w:lineRule="exact"/>
              <w:rPr>
                <w:rFonts w:ascii="宋体" w:hAnsi="宋体"/>
                <w:color w:val="auto"/>
                <w:sz w:val="21"/>
                <w:szCs w:val="21"/>
                <w:highlight w:val="none"/>
              </w:rPr>
            </w:pPr>
          </w:p>
        </w:tc>
        <w:tc>
          <w:tcPr>
            <w:tcW w:w="1276" w:type="dxa"/>
            <w:tcBorders>
              <w:left w:val="single" w:color="auto" w:sz="4" w:space="0"/>
              <w:bottom w:val="single" w:color="auto" w:sz="4" w:space="0"/>
              <w:right w:val="single" w:color="auto" w:sz="4" w:space="0"/>
            </w:tcBorders>
            <w:vAlign w:val="center"/>
          </w:tcPr>
          <w:p>
            <w:pPr>
              <w:pStyle w:val="10"/>
              <w:tabs>
                <w:tab w:val="center" w:pos="4320"/>
                <w:tab w:val="right" w:pos="8640"/>
              </w:tabs>
              <w:spacing w:line="400" w:lineRule="exact"/>
              <w:rPr>
                <w:rFonts w:ascii="宋体" w:hAnsi="宋体"/>
                <w:color w:val="auto"/>
                <w:sz w:val="21"/>
                <w:szCs w:val="21"/>
                <w:highlight w:val="none"/>
              </w:rPr>
            </w:pPr>
          </w:p>
        </w:tc>
        <w:tc>
          <w:tcPr>
            <w:tcW w:w="1207" w:type="dxa"/>
            <w:tcBorders>
              <w:left w:val="single" w:color="auto" w:sz="4" w:space="0"/>
              <w:bottom w:val="single" w:color="auto" w:sz="4" w:space="0"/>
            </w:tcBorders>
            <w:vAlign w:val="center"/>
          </w:tcPr>
          <w:p>
            <w:pPr>
              <w:pStyle w:val="10"/>
              <w:tabs>
                <w:tab w:val="center" w:pos="4320"/>
                <w:tab w:val="right" w:pos="8640"/>
              </w:tabs>
              <w:spacing w:line="400" w:lineRule="exact"/>
              <w:rPr>
                <w:rFonts w:ascii="宋体" w:hAnsi="宋体"/>
                <w:color w:val="auto"/>
                <w:sz w:val="21"/>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47" w:hRule="atLeas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1.1</w:t>
            </w:r>
          </w:p>
        </w:tc>
        <w:tc>
          <w:tcPr>
            <w:tcW w:w="4155" w:type="dxa"/>
            <w:tcBorders>
              <w:bottom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安装基础及图纸</w:t>
            </w:r>
          </w:p>
        </w:tc>
        <w:tc>
          <w:tcPr>
            <w:tcW w:w="851" w:type="dxa"/>
            <w:tcBorders>
              <w:top w:val="single" w:color="auto" w:sz="4" w:space="0"/>
              <w:bottom w:val="single" w:color="auto" w:sz="4" w:space="0"/>
              <w:right w:val="single" w:color="auto" w:sz="4" w:space="0"/>
            </w:tcBorders>
            <w:tcMar>
              <w:left w:w="108" w:type="dxa"/>
              <w:right w:w="108" w:type="dxa"/>
            </w:tcMar>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1.2</w:t>
            </w:r>
          </w:p>
        </w:tc>
        <w:tc>
          <w:tcPr>
            <w:tcW w:w="4155" w:type="dxa"/>
            <w:tcBorders>
              <w:top w:val="single" w:color="auto" w:sz="4" w:space="0"/>
              <w:bottom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安装、维护、运行说明及图纸</w:t>
            </w:r>
          </w:p>
        </w:tc>
        <w:tc>
          <w:tcPr>
            <w:tcW w:w="851" w:type="dxa"/>
            <w:tcBorders>
              <w:top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1.3</w:t>
            </w:r>
          </w:p>
        </w:tc>
        <w:tc>
          <w:tcPr>
            <w:tcW w:w="4155" w:type="dxa"/>
            <w:tcBorders>
              <w:bottom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电气原理图</w:t>
            </w:r>
          </w:p>
        </w:tc>
        <w:tc>
          <w:tcPr>
            <w:tcW w:w="851" w:type="dxa"/>
            <w:tcBorders>
              <w:top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1.4</w:t>
            </w:r>
          </w:p>
        </w:tc>
        <w:tc>
          <w:tcPr>
            <w:tcW w:w="4155" w:type="dxa"/>
            <w:tcBorders>
              <w:bottom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测量、监控、信号回路、回路主方案图</w:t>
            </w:r>
          </w:p>
        </w:tc>
        <w:tc>
          <w:tcPr>
            <w:tcW w:w="851" w:type="dxa"/>
            <w:tcBorders>
              <w:top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1.5</w:t>
            </w:r>
          </w:p>
        </w:tc>
        <w:tc>
          <w:tcPr>
            <w:tcW w:w="4155" w:type="dxa"/>
            <w:tcBorders>
              <w:bottom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安装图，带外形尺寸、运输尺寸、质量</w:t>
            </w:r>
          </w:p>
        </w:tc>
        <w:tc>
          <w:tcPr>
            <w:tcW w:w="851" w:type="dxa"/>
            <w:tcBorders>
              <w:top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1.6</w:t>
            </w:r>
          </w:p>
        </w:tc>
        <w:tc>
          <w:tcPr>
            <w:tcW w:w="4155" w:type="dxa"/>
            <w:tcBorders>
              <w:bottom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主要元件安装使用说明书</w:t>
            </w:r>
          </w:p>
        </w:tc>
        <w:tc>
          <w:tcPr>
            <w:tcW w:w="851" w:type="dxa"/>
            <w:tcBorders>
              <w:top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1.7</w:t>
            </w:r>
          </w:p>
        </w:tc>
        <w:tc>
          <w:tcPr>
            <w:tcW w:w="4155" w:type="dxa"/>
            <w:tcBorders>
              <w:bottom w:val="single" w:color="auto" w:sz="4" w:space="0"/>
              <w:right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专用工具、仪表介绍</w:t>
            </w:r>
          </w:p>
        </w:tc>
        <w:tc>
          <w:tcPr>
            <w:tcW w:w="851" w:type="dxa"/>
            <w:tcBorders>
              <w:top w:val="single" w:color="auto" w:sz="4" w:space="0"/>
              <w:left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1.8</w:t>
            </w:r>
          </w:p>
        </w:tc>
        <w:tc>
          <w:tcPr>
            <w:tcW w:w="4155" w:type="dxa"/>
            <w:tcBorders>
              <w:right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运输和安装所需要专用设备的说明</w:t>
            </w:r>
          </w:p>
        </w:tc>
        <w:tc>
          <w:tcPr>
            <w:tcW w:w="851" w:type="dxa"/>
            <w:tcBorders>
              <w:top w:val="single" w:color="auto" w:sz="4" w:space="0"/>
              <w:left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1.9</w:t>
            </w:r>
          </w:p>
        </w:tc>
        <w:tc>
          <w:tcPr>
            <w:tcW w:w="4155" w:type="dxa"/>
            <w:tcBorders>
              <w:bottom w:val="single" w:color="auto" w:sz="4" w:space="0"/>
              <w:right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现场试验和其他试验说明</w:t>
            </w:r>
          </w:p>
        </w:tc>
        <w:tc>
          <w:tcPr>
            <w:tcW w:w="851" w:type="dxa"/>
            <w:tcBorders>
              <w:top w:val="single" w:color="auto" w:sz="4" w:space="0"/>
              <w:left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b/>
                <w:color w:val="auto"/>
                <w:szCs w:val="21"/>
                <w:highlight w:val="none"/>
              </w:rPr>
            </w:pPr>
            <w:r>
              <w:rPr>
                <w:rFonts w:ascii="宋体" w:hAnsi="宋体"/>
                <w:b/>
                <w:color w:val="auto"/>
                <w:szCs w:val="21"/>
                <w:highlight w:val="none"/>
              </w:rPr>
              <w:t>2</w:t>
            </w:r>
          </w:p>
        </w:tc>
        <w:tc>
          <w:tcPr>
            <w:tcW w:w="4155" w:type="dxa"/>
            <w:tcBorders>
              <w:top w:val="single" w:color="auto" w:sz="4" w:space="0"/>
              <w:bottom w:val="single" w:color="auto" w:sz="4" w:space="0"/>
              <w:right w:val="single" w:color="auto" w:sz="4" w:space="0"/>
            </w:tcBorders>
            <w:tcMar>
              <w:left w:w="108" w:type="dxa"/>
              <w:right w:w="108" w:type="dxa"/>
            </w:tcMar>
            <w:vAlign w:val="center"/>
          </w:tcPr>
          <w:p>
            <w:pPr>
              <w:snapToGrid w:val="0"/>
              <w:rPr>
                <w:rFonts w:ascii="宋体" w:hAnsi="宋体"/>
                <w:b/>
                <w:color w:val="auto"/>
                <w:szCs w:val="21"/>
                <w:highlight w:val="none"/>
              </w:rPr>
            </w:pPr>
            <w:r>
              <w:rPr>
                <w:rFonts w:hint="eastAsia" w:ascii="宋体" w:hAnsi="宋体"/>
                <w:b/>
                <w:color w:val="auto"/>
                <w:szCs w:val="21"/>
                <w:highlight w:val="none"/>
              </w:rPr>
              <w:t>试验报告</w:t>
            </w:r>
          </w:p>
        </w:tc>
        <w:tc>
          <w:tcPr>
            <w:tcW w:w="851" w:type="dxa"/>
            <w:tcBorders>
              <w:top w:val="single" w:color="auto" w:sz="4" w:space="0"/>
              <w:left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b/>
                <w:color w:val="auto"/>
                <w:szCs w:val="21"/>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b/>
                <w:color w:val="auto"/>
                <w:szCs w:val="21"/>
                <w:highlight w:val="none"/>
              </w:rPr>
            </w:pPr>
          </w:p>
        </w:tc>
        <w:tc>
          <w:tcPr>
            <w:tcW w:w="1207" w:type="dxa"/>
            <w:tcBorders>
              <w:top w:val="single" w:color="auto" w:sz="4" w:space="0"/>
              <w:left w:val="single" w:color="auto" w:sz="4" w:space="0"/>
              <w:bottom w:val="single" w:color="auto" w:sz="4" w:space="0"/>
            </w:tcBorders>
            <w:vAlign w:val="center"/>
          </w:tcPr>
          <w:p>
            <w:pPr>
              <w:snapToGrid w:val="0"/>
              <w:jc w:val="center"/>
              <w:rPr>
                <w:rFonts w:ascii="宋体" w:hAnsi="宋体"/>
                <w:b/>
                <w:color w:val="auto"/>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2.1</w:t>
            </w:r>
          </w:p>
        </w:tc>
        <w:tc>
          <w:tcPr>
            <w:tcW w:w="4155" w:type="dxa"/>
            <w:tcBorders>
              <w:bottom w:val="single" w:color="auto" w:sz="4" w:space="0"/>
              <w:right w:val="single" w:color="auto" w:sz="4" w:space="0"/>
            </w:tcBorders>
            <w:tcMar>
              <w:left w:w="108" w:type="dxa"/>
              <w:right w:w="108" w:type="dxa"/>
            </w:tcMar>
            <w:vAlign w:val="center"/>
          </w:tcPr>
          <w:p>
            <w:pPr>
              <w:snapToGrid w:val="0"/>
              <w:rPr>
                <w:rFonts w:hint="eastAsia" w:ascii="宋体" w:hAnsi="宋体"/>
                <w:color w:val="auto"/>
                <w:szCs w:val="21"/>
                <w:highlight w:val="none"/>
              </w:rPr>
            </w:pPr>
            <w:r>
              <w:rPr>
                <w:rFonts w:hint="eastAsia" w:ascii="宋体" w:hAnsi="宋体"/>
                <w:color w:val="auto"/>
                <w:szCs w:val="21"/>
                <w:highlight w:val="none"/>
              </w:rPr>
              <w:t>第三方权威机构检测报告（</w:t>
            </w:r>
            <w:r>
              <w:rPr>
                <w:rFonts w:hint="eastAsia" w:ascii="宋体" w:hAnsi="宋体"/>
                <w:color w:val="auto"/>
                <w:szCs w:val="21"/>
                <w:highlight w:val="none"/>
              </w:rPr>
              <w:t>应有CNAS、MA、AL、ilac.MRA认证标志）</w:t>
            </w:r>
          </w:p>
        </w:tc>
        <w:tc>
          <w:tcPr>
            <w:tcW w:w="851" w:type="dxa"/>
            <w:tcBorders>
              <w:top w:val="single" w:color="auto" w:sz="4" w:space="0"/>
              <w:left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2.2</w:t>
            </w:r>
          </w:p>
        </w:tc>
        <w:tc>
          <w:tcPr>
            <w:tcW w:w="4155" w:type="dxa"/>
            <w:tcBorders>
              <w:right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全套出厂试验报告</w:t>
            </w:r>
          </w:p>
        </w:tc>
        <w:tc>
          <w:tcPr>
            <w:tcW w:w="851" w:type="dxa"/>
            <w:tcBorders>
              <w:top w:val="single" w:color="auto" w:sz="4" w:space="0"/>
              <w:left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2.3</w:t>
            </w:r>
          </w:p>
        </w:tc>
        <w:tc>
          <w:tcPr>
            <w:tcW w:w="4155" w:type="dxa"/>
            <w:tcBorders>
              <w:right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其他试验报告</w:t>
            </w:r>
          </w:p>
        </w:tc>
        <w:tc>
          <w:tcPr>
            <w:tcW w:w="851" w:type="dxa"/>
            <w:tcBorders>
              <w:top w:val="single" w:color="auto" w:sz="4" w:space="0"/>
              <w:left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b/>
                <w:color w:val="auto"/>
                <w:szCs w:val="21"/>
                <w:highlight w:val="none"/>
              </w:rPr>
            </w:pPr>
            <w:r>
              <w:rPr>
                <w:rFonts w:ascii="宋体" w:hAnsi="宋体"/>
                <w:b/>
                <w:color w:val="auto"/>
                <w:szCs w:val="21"/>
                <w:highlight w:val="none"/>
              </w:rPr>
              <w:t>3</w:t>
            </w:r>
          </w:p>
        </w:tc>
        <w:tc>
          <w:tcPr>
            <w:tcW w:w="4155" w:type="dxa"/>
            <w:tcBorders>
              <w:right w:val="single" w:color="auto" w:sz="4" w:space="0"/>
            </w:tcBorders>
            <w:tcMar>
              <w:left w:w="108" w:type="dxa"/>
              <w:right w:w="108" w:type="dxa"/>
            </w:tcMar>
            <w:vAlign w:val="center"/>
          </w:tcPr>
          <w:p>
            <w:pPr>
              <w:snapToGrid w:val="0"/>
              <w:rPr>
                <w:rFonts w:ascii="宋体" w:hAnsi="宋体"/>
                <w:b/>
                <w:color w:val="auto"/>
                <w:szCs w:val="21"/>
                <w:highlight w:val="none"/>
              </w:rPr>
            </w:pPr>
            <w:r>
              <w:rPr>
                <w:rFonts w:hint="eastAsia" w:ascii="宋体" w:hAnsi="宋体"/>
                <w:b/>
                <w:color w:val="auto"/>
                <w:szCs w:val="21"/>
                <w:highlight w:val="none"/>
              </w:rPr>
              <w:t>其他资料</w:t>
            </w:r>
          </w:p>
        </w:tc>
        <w:tc>
          <w:tcPr>
            <w:tcW w:w="851" w:type="dxa"/>
            <w:tcBorders>
              <w:top w:val="single" w:color="auto" w:sz="4" w:space="0"/>
              <w:left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p>
        </w:tc>
        <w:tc>
          <w:tcPr>
            <w:tcW w:w="1207" w:type="dxa"/>
            <w:tcBorders>
              <w:top w:val="single" w:color="auto" w:sz="4" w:space="0"/>
              <w:left w:val="single" w:color="auto" w:sz="4" w:space="0"/>
              <w:bottom w:val="single" w:color="auto" w:sz="4" w:space="0"/>
            </w:tcBorders>
            <w:vAlign w:val="center"/>
          </w:tcPr>
          <w:p>
            <w:pPr>
              <w:snapToGrid w:val="0"/>
              <w:jc w:val="center"/>
              <w:rPr>
                <w:rFonts w:ascii="宋体" w:hAnsi="宋体"/>
                <w:color w:val="auto"/>
                <w:szCs w:val="21"/>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3.1</w:t>
            </w:r>
          </w:p>
        </w:tc>
        <w:tc>
          <w:tcPr>
            <w:tcW w:w="4155" w:type="dxa"/>
            <w:tcBorders>
              <w:right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主要元件清单</w:t>
            </w:r>
          </w:p>
        </w:tc>
        <w:tc>
          <w:tcPr>
            <w:tcW w:w="851" w:type="dxa"/>
            <w:tcBorders>
              <w:top w:val="single" w:color="auto" w:sz="4" w:space="0"/>
              <w:left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3.2</w:t>
            </w:r>
          </w:p>
        </w:tc>
        <w:tc>
          <w:tcPr>
            <w:tcW w:w="4155" w:type="dxa"/>
            <w:tcBorders>
              <w:right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主要附件材料清单</w:t>
            </w:r>
          </w:p>
        </w:tc>
        <w:tc>
          <w:tcPr>
            <w:tcW w:w="851" w:type="dxa"/>
            <w:tcBorders>
              <w:top w:val="single" w:color="auto" w:sz="4" w:space="0"/>
              <w:left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3.3</w:t>
            </w:r>
          </w:p>
        </w:tc>
        <w:tc>
          <w:tcPr>
            <w:tcW w:w="4155" w:type="dxa"/>
            <w:tcBorders>
              <w:right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检查、调试规定</w:t>
            </w:r>
          </w:p>
        </w:tc>
        <w:tc>
          <w:tcPr>
            <w:tcW w:w="851" w:type="dxa"/>
            <w:tcBorders>
              <w:top w:val="single" w:color="auto" w:sz="4" w:space="0"/>
              <w:left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3.4</w:t>
            </w:r>
          </w:p>
        </w:tc>
        <w:tc>
          <w:tcPr>
            <w:tcW w:w="4155" w:type="dxa"/>
            <w:tcBorders>
              <w:right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包装、运输、贮存规定</w:t>
            </w:r>
          </w:p>
        </w:tc>
        <w:tc>
          <w:tcPr>
            <w:tcW w:w="851" w:type="dxa"/>
            <w:tcBorders>
              <w:top w:val="single" w:color="auto" w:sz="4" w:space="0"/>
              <w:left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3.5</w:t>
            </w:r>
          </w:p>
        </w:tc>
        <w:tc>
          <w:tcPr>
            <w:tcW w:w="4155" w:type="dxa"/>
            <w:tcBorders>
              <w:right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现场试验规定和标准</w:t>
            </w:r>
          </w:p>
        </w:tc>
        <w:tc>
          <w:tcPr>
            <w:tcW w:w="851" w:type="dxa"/>
            <w:tcBorders>
              <w:top w:val="single" w:color="auto" w:sz="4" w:space="0"/>
              <w:left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3.6</w:t>
            </w:r>
          </w:p>
        </w:tc>
        <w:tc>
          <w:tcPr>
            <w:tcW w:w="4155" w:type="dxa"/>
            <w:tcBorders>
              <w:right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维修指南</w:t>
            </w:r>
          </w:p>
        </w:tc>
        <w:tc>
          <w:tcPr>
            <w:tcW w:w="851" w:type="dxa"/>
            <w:tcBorders>
              <w:top w:val="single" w:color="auto" w:sz="4" w:space="0"/>
              <w:left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3.7</w:t>
            </w:r>
          </w:p>
        </w:tc>
        <w:tc>
          <w:tcPr>
            <w:tcW w:w="4155" w:type="dxa"/>
            <w:tcBorders>
              <w:right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装箱清单</w:t>
            </w:r>
          </w:p>
        </w:tc>
        <w:tc>
          <w:tcPr>
            <w:tcW w:w="851" w:type="dxa"/>
            <w:tcBorders>
              <w:top w:val="single" w:color="auto" w:sz="4" w:space="0"/>
              <w:left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188" w:hRule="atLeast"/>
          <w:jc w:val="center"/>
        </w:trPr>
        <w:tc>
          <w:tcPr>
            <w:tcW w:w="1079" w:type="dxa"/>
            <w:tcMar>
              <w:left w:w="108" w:type="dxa"/>
              <w:right w:w="108" w:type="dxa"/>
            </w:tcMar>
            <w:vAlign w:val="center"/>
          </w:tcPr>
          <w:p>
            <w:pPr>
              <w:snapToGrid w:val="0"/>
              <w:jc w:val="center"/>
              <w:rPr>
                <w:rFonts w:ascii="宋体" w:hAnsi="宋体"/>
                <w:color w:val="auto"/>
                <w:szCs w:val="21"/>
                <w:highlight w:val="none"/>
              </w:rPr>
            </w:pPr>
            <w:r>
              <w:rPr>
                <w:rFonts w:ascii="宋体" w:hAnsi="宋体"/>
                <w:color w:val="auto"/>
                <w:szCs w:val="21"/>
                <w:highlight w:val="none"/>
              </w:rPr>
              <w:t>3.8</w:t>
            </w:r>
          </w:p>
        </w:tc>
        <w:tc>
          <w:tcPr>
            <w:tcW w:w="4155" w:type="dxa"/>
            <w:tcBorders>
              <w:right w:val="single" w:color="auto" w:sz="4" w:space="0"/>
            </w:tcBorders>
            <w:tcMar>
              <w:left w:w="108" w:type="dxa"/>
              <w:right w:w="108" w:type="dxa"/>
            </w:tcMar>
            <w:vAlign w:val="center"/>
          </w:tcPr>
          <w:p>
            <w:pPr>
              <w:snapToGrid w:val="0"/>
              <w:rPr>
                <w:rFonts w:ascii="宋体" w:hAnsi="宋体"/>
                <w:color w:val="auto"/>
                <w:szCs w:val="21"/>
                <w:highlight w:val="none"/>
              </w:rPr>
            </w:pPr>
            <w:r>
              <w:rPr>
                <w:rFonts w:hint="eastAsia" w:ascii="宋体" w:hAnsi="宋体"/>
                <w:color w:val="auto"/>
                <w:szCs w:val="21"/>
                <w:highlight w:val="none"/>
              </w:rPr>
              <w:t>包装说明</w:t>
            </w:r>
          </w:p>
        </w:tc>
        <w:tc>
          <w:tcPr>
            <w:tcW w:w="851" w:type="dxa"/>
            <w:tcBorders>
              <w:top w:val="single" w:color="auto" w:sz="4" w:space="0"/>
              <w:left w:val="single" w:color="auto" w:sz="4" w:space="0"/>
              <w:bottom w:val="single" w:color="auto" w:sz="4" w:space="0"/>
              <w:right w:val="single" w:color="auto" w:sz="4" w:space="0"/>
            </w:tcBorders>
            <w:tcMar>
              <w:left w:w="108" w:type="dxa"/>
              <w:right w:w="108" w:type="dxa"/>
            </w:tcMar>
            <w:vAlign w:val="center"/>
          </w:tcPr>
          <w:p>
            <w:pPr>
              <w:snapToGrid w:val="0"/>
              <w:jc w:val="center"/>
              <w:rPr>
                <w:rFonts w:ascii="宋体" w:hAnsi="宋体"/>
                <w:color w:val="auto"/>
                <w:szCs w:val="21"/>
                <w:highlight w:val="none"/>
              </w:rPr>
            </w:pPr>
            <w:r>
              <w:rPr>
                <w:rFonts w:hint="eastAsia" w:ascii="宋体" w:hAnsi="宋体"/>
                <w:color w:val="auto"/>
                <w:szCs w:val="21"/>
                <w:highlight w:val="none"/>
              </w:rPr>
              <w:t>2</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rFonts w:ascii="宋体" w:hAnsi="宋体"/>
                <w:color w:val="auto"/>
                <w:szCs w:val="21"/>
                <w:highlight w:val="none"/>
              </w:rPr>
            </w:pPr>
            <w:r>
              <w:rPr>
                <w:rFonts w:hint="eastAsia" w:ascii="宋体" w:hAnsi="宋体"/>
                <w:color w:val="auto"/>
                <w:szCs w:val="21"/>
                <w:highlight w:val="none"/>
              </w:rPr>
              <w:t>随货交付</w:t>
            </w:r>
          </w:p>
        </w:tc>
        <w:tc>
          <w:tcPr>
            <w:tcW w:w="1207" w:type="dxa"/>
            <w:tcBorders>
              <w:top w:val="single" w:color="auto" w:sz="4" w:space="0"/>
              <w:left w:val="single" w:color="auto" w:sz="4" w:space="0"/>
              <w:bottom w:val="single" w:color="auto" w:sz="4" w:space="0"/>
            </w:tcBorders>
            <w:vAlign w:val="center"/>
          </w:tcPr>
          <w:p>
            <w:pPr>
              <w:pStyle w:val="8"/>
              <w:snapToGrid w:val="0"/>
              <w:ind w:left="5250"/>
              <w:jc w:val="center"/>
              <w:rPr>
                <w:rFonts w:ascii="宋体" w:hAnsi="宋体"/>
                <w:color w:val="auto"/>
                <w:szCs w:val="21"/>
                <w:highlight w:val="none"/>
              </w:rPr>
            </w:pPr>
            <w:r>
              <w:rPr>
                <w:rFonts w:hint="eastAsia" w:ascii="宋体" w:hAnsi="宋体"/>
                <w:color w:val="auto"/>
                <w:szCs w:val="21"/>
                <w:highlight w:val="none"/>
              </w:rPr>
              <w:t>用户指定</w:t>
            </w:r>
          </w:p>
        </w:tc>
      </w:tr>
    </w:tbl>
    <w:p>
      <w:pPr>
        <w:rPr>
          <w:rFonts w:hint="eastAsia" w:ascii="宋体" w:hAnsi="宋体"/>
          <w:color w:val="auto"/>
          <w:szCs w:val="21"/>
          <w:highlight w:val="none"/>
        </w:rPr>
      </w:pPr>
      <w:r>
        <w:rPr>
          <w:rFonts w:hint="eastAsia" w:ascii="宋体" w:hAnsi="宋体"/>
          <w:color w:val="auto"/>
          <w:szCs w:val="21"/>
          <w:highlight w:val="none"/>
        </w:rPr>
        <w:t xml:space="preserve"> </w:t>
      </w:r>
    </w:p>
    <w:p>
      <w:pPr>
        <w:rPr>
          <w:rFonts w:hint="eastAsia" w:ascii="宋体" w:hAnsi="宋体"/>
          <w:color w:val="auto"/>
          <w:szCs w:val="21"/>
          <w:highlight w:val="none"/>
        </w:rPr>
      </w:pPr>
    </w:p>
    <w:p>
      <w:pPr>
        <w:rPr>
          <w:rFonts w:hint="eastAsia" w:ascii="宋体" w:hAnsi="宋体"/>
          <w:color w:val="auto"/>
          <w:szCs w:val="21"/>
          <w:highlight w:val="none"/>
        </w:rPr>
      </w:pPr>
    </w:p>
    <w:p>
      <w:pPr>
        <w:rPr>
          <w:rFonts w:ascii="宋体" w:hAnsi="宋体"/>
          <w:color w:val="auto"/>
          <w:szCs w:val="21"/>
          <w:highlight w:val="none"/>
        </w:rPr>
      </w:pPr>
    </w:p>
    <w:p>
      <w:pPr>
        <w:rPr>
          <w:rFonts w:ascii="宋体" w:hAnsi="宋体"/>
          <w:color w:val="auto"/>
          <w:szCs w:val="21"/>
          <w:highlight w:val="none"/>
        </w:rPr>
      </w:pPr>
    </w:p>
    <w:p>
      <w:pPr>
        <w:rPr>
          <w:rFonts w:ascii="宋体" w:hAnsi="宋体"/>
          <w:color w:val="auto"/>
          <w:szCs w:val="21"/>
          <w:highlight w:val="none"/>
        </w:rPr>
      </w:pPr>
    </w:p>
    <w:p>
      <w:pPr>
        <w:rPr>
          <w:rFonts w:hint="eastAsia" w:ascii="宋体" w:hAnsi="宋体"/>
          <w:color w:val="auto"/>
          <w:szCs w:val="21"/>
          <w:highlight w:val="none"/>
        </w:rPr>
      </w:pPr>
    </w:p>
    <w:p>
      <w:pPr>
        <w:pStyle w:val="3"/>
        <w:rPr>
          <w:rFonts w:ascii="宋体" w:hAnsi="宋体"/>
          <w:color w:val="auto"/>
          <w:szCs w:val="21"/>
          <w:highlight w:val="none"/>
        </w:rPr>
      </w:pPr>
      <w:r>
        <w:rPr>
          <w:rFonts w:hint="eastAsia" w:ascii="宋体" w:hAnsi="宋体"/>
          <w:color w:val="auto"/>
          <w:szCs w:val="21"/>
          <w:highlight w:val="none"/>
        </w:rPr>
        <w:t>3  产品需求说明</w:t>
      </w:r>
    </w:p>
    <w:tbl>
      <w:tblPr>
        <w:tblStyle w:val="15"/>
        <w:tblW w:w="8651"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166"/>
        <w:gridCol w:w="748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1166" w:type="dxa"/>
            <w:tcMar>
              <w:left w:w="108" w:type="dxa"/>
              <w:right w:w="108" w:type="dxa"/>
            </w:tcMar>
            <w:vAlign w:val="center"/>
          </w:tcPr>
          <w:p>
            <w:pPr>
              <w:snapToGrid w:val="0"/>
              <w:spacing w:line="400" w:lineRule="exact"/>
              <w:jc w:val="center"/>
              <w:rPr>
                <w:rFonts w:ascii="宋体" w:hAnsi="宋体"/>
                <w:b/>
                <w:color w:val="auto"/>
                <w:szCs w:val="21"/>
                <w:highlight w:val="none"/>
              </w:rPr>
            </w:pPr>
            <w:r>
              <w:rPr>
                <w:rFonts w:hint="eastAsia" w:ascii="宋体" w:hAnsi="宋体"/>
                <w:b/>
                <w:color w:val="auto"/>
                <w:szCs w:val="21"/>
                <w:highlight w:val="none"/>
              </w:rPr>
              <w:t>序号</w:t>
            </w:r>
          </w:p>
        </w:tc>
        <w:tc>
          <w:tcPr>
            <w:tcW w:w="7485" w:type="dxa"/>
            <w:tcBorders>
              <w:bottom w:val="single" w:color="auto" w:sz="4" w:space="0"/>
            </w:tcBorders>
            <w:tcMar>
              <w:left w:w="108" w:type="dxa"/>
              <w:right w:w="108" w:type="dxa"/>
            </w:tcMar>
            <w:vAlign w:val="center"/>
          </w:tcPr>
          <w:p>
            <w:pPr>
              <w:snapToGrid w:val="0"/>
              <w:spacing w:line="400" w:lineRule="exact"/>
              <w:jc w:val="center"/>
              <w:rPr>
                <w:rFonts w:ascii="宋体" w:hAnsi="宋体"/>
                <w:b/>
                <w:color w:val="auto"/>
                <w:szCs w:val="21"/>
                <w:highlight w:val="none"/>
              </w:rPr>
            </w:pPr>
            <w:r>
              <w:rPr>
                <w:rFonts w:hint="eastAsia" w:ascii="宋体" w:hAnsi="宋体"/>
                <w:b/>
                <w:color w:val="auto"/>
                <w:szCs w:val="21"/>
                <w:highlight w:val="none"/>
              </w:rPr>
              <w:t>招标产品配置分类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61" w:hRule="atLeast"/>
          <w:jc w:val="center"/>
        </w:trPr>
        <w:tc>
          <w:tcPr>
            <w:tcW w:w="1166" w:type="dxa"/>
            <w:tcBorders>
              <w:top w:val="single" w:color="auto" w:sz="4" w:space="0"/>
              <w:bottom w:val="single" w:color="auto" w:sz="4" w:space="0"/>
            </w:tcBorders>
            <w:tcMar>
              <w:left w:w="108" w:type="dxa"/>
              <w:right w:w="108" w:type="dxa"/>
            </w:tcMar>
            <w:vAlign w:val="center"/>
          </w:tcPr>
          <w:p>
            <w:pPr>
              <w:snapToGrid w:val="0"/>
              <w:spacing w:line="400" w:lineRule="exact"/>
              <w:jc w:val="center"/>
              <w:rPr>
                <w:rFonts w:hint="eastAsia" w:ascii="宋体" w:hAnsi="宋体"/>
                <w:b/>
                <w:color w:val="auto"/>
                <w:szCs w:val="21"/>
                <w:highlight w:val="none"/>
              </w:rPr>
            </w:pPr>
            <w:r>
              <w:rPr>
                <w:rFonts w:hint="eastAsia" w:ascii="宋体" w:hAnsi="宋体"/>
                <w:b/>
                <w:color w:val="auto"/>
                <w:szCs w:val="21"/>
                <w:highlight w:val="none"/>
              </w:rPr>
              <w:t>1</w:t>
            </w:r>
          </w:p>
        </w:tc>
        <w:tc>
          <w:tcPr>
            <w:tcW w:w="7485" w:type="dxa"/>
            <w:tcBorders>
              <w:top w:val="single" w:color="auto" w:sz="4" w:space="0"/>
              <w:bottom w:val="single" w:color="auto" w:sz="4" w:space="0"/>
            </w:tcBorders>
            <w:tcMar>
              <w:left w:w="108" w:type="dxa"/>
              <w:right w:w="108" w:type="dxa"/>
            </w:tcMar>
            <w:vAlign w:val="center"/>
          </w:tcPr>
          <w:p>
            <w:pPr>
              <w:snapToGrid w:val="0"/>
              <w:spacing w:line="400" w:lineRule="exact"/>
              <w:jc w:val="left"/>
              <w:rPr>
                <w:rFonts w:ascii="宋体" w:hAnsi="宋体"/>
                <w:color w:val="auto"/>
                <w:szCs w:val="21"/>
                <w:highlight w:val="none"/>
              </w:rPr>
            </w:pPr>
            <w:r>
              <w:rPr>
                <w:rFonts w:hint="eastAsia" w:ascii="宋体" w:hAnsi="宋体"/>
                <w:color w:val="auto"/>
                <w:szCs w:val="21"/>
                <w:highlight w:val="none"/>
              </w:rPr>
              <w:t>静止无功发生器,容量30kvar,额定电压400V;单主机,含控制器，带谐波滤波功能。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59" w:hRule="atLeast"/>
          <w:jc w:val="center"/>
        </w:trPr>
        <w:tc>
          <w:tcPr>
            <w:tcW w:w="1166" w:type="dxa"/>
            <w:tcBorders>
              <w:top w:val="single" w:color="auto" w:sz="4" w:space="0"/>
              <w:bottom w:val="single" w:color="auto" w:sz="4" w:space="0"/>
            </w:tcBorders>
            <w:tcMar>
              <w:left w:w="108" w:type="dxa"/>
              <w:right w:w="108" w:type="dxa"/>
            </w:tcMar>
            <w:vAlign w:val="center"/>
          </w:tcPr>
          <w:p>
            <w:pPr>
              <w:snapToGrid w:val="0"/>
              <w:spacing w:line="400" w:lineRule="exact"/>
              <w:jc w:val="center"/>
              <w:rPr>
                <w:rFonts w:hint="eastAsia" w:ascii="宋体" w:hAnsi="宋体"/>
                <w:b/>
                <w:color w:val="auto"/>
                <w:szCs w:val="21"/>
                <w:highlight w:val="none"/>
              </w:rPr>
            </w:pPr>
            <w:r>
              <w:rPr>
                <w:rFonts w:hint="eastAsia" w:ascii="宋体" w:hAnsi="宋体"/>
                <w:b/>
                <w:color w:val="auto"/>
                <w:szCs w:val="21"/>
                <w:highlight w:val="none"/>
              </w:rPr>
              <w:t>2</w:t>
            </w:r>
          </w:p>
        </w:tc>
        <w:tc>
          <w:tcPr>
            <w:tcW w:w="7485" w:type="dxa"/>
            <w:tcBorders>
              <w:top w:val="single" w:color="auto" w:sz="4" w:space="0"/>
              <w:bottom w:val="single" w:color="auto" w:sz="4" w:space="0"/>
            </w:tcBorders>
            <w:tcMar>
              <w:left w:w="108" w:type="dxa"/>
              <w:right w:w="108" w:type="dxa"/>
            </w:tcMar>
            <w:vAlign w:val="center"/>
          </w:tcPr>
          <w:p>
            <w:pPr>
              <w:snapToGrid w:val="0"/>
              <w:spacing w:line="400" w:lineRule="exact"/>
              <w:jc w:val="left"/>
              <w:rPr>
                <w:rFonts w:ascii="宋体" w:hAnsi="宋体"/>
                <w:color w:val="auto"/>
                <w:szCs w:val="21"/>
                <w:highlight w:val="none"/>
              </w:rPr>
            </w:pPr>
            <w:r>
              <w:rPr>
                <w:rFonts w:hint="eastAsia" w:ascii="宋体" w:hAnsi="宋体"/>
                <w:color w:val="auto"/>
                <w:szCs w:val="21"/>
                <w:highlight w:val="none"/>
              </w:rPr>
              <w:t>静止无功发生器,容量50kvar,额定电压400V;单主机,含控制器，带谐波滤波功能。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33" w:hRule="atLeast"/>
          <w:jc w:val="center"/>
        </w:trPr>
        <w:tc>
          <w:tcPr>
            <w:tcW w:w="1166" w:type="dxa"/>
            <w:tcBorders>
              <w:top w:val="single" w:color="auto" w:sz="4" w:space="0"/>
            </w:tcBorders>
            <w:tcMar>
              <w:left w:w="108" w:type="dxa"/>
              <w:right w:w="108" w:type="dxa"/>
            </w:tcMar>
            <w:vAlign w:val="center"/>
          </w:tcPr>
          <w:p>
            <w:pPr>
              <w:snapToGrid w:val="0"/>
              <w:spacing w:line="400" w:lineRule="exact"/>
              <w:jc w:val="center"/>
              <w:rPr>
                <w:rFonts w:hint="eastAsia" w:ascii="宋体" w:hAnsi="宋体"/>
                <w:b/>
                <w:color w:val="auto"/>
                <w:szCs w:val="21"/>
                <w:highlight w:val="none"/>
              </w:rPr>
            </w:pPr>
            <w:r>
              <w:rPr>
                <w:rFonts w:hint="eastAsia" w:ascii="宋体" w:hAnsi="宋体"/>
                <w:b/>
                <w:color w:val="auto"/>
                <w:szCs w:val="21"/>
                <w:highlight w:val="none"/>
              </w:rPr>
              <w:t>3</w:t>
            </w:r>
          </w:p>
        </w:tc>
        <w:tc>
          <w:tcPr>
            <w:tcW w:w="7485" w:type="dxa"/>
            <w:tcBorders>
              <w:top w:val="single" w:color="auto" w:sz="4" w:space="0"/>
              <w:bottom w:val="single" w:color="auto" w:sz="4" w:space="0"/>
            </w:tcBorders>
            <w:tcMar>
              <w:left w:w="108" w:type="dxa"/>
              <w:right w:w="108" w:type="dxa"/>
            </w:tcMar>
            <w:vAlign w:val="center"/>
          </w:tcPr>
          <w:p>
            <w:pPr>
              <w:snapToGrid w:val="0"/>
              <w:spacing w:line="400" w:lineRule="exact"/>
              <w:jc w:val="left"/>
              <w:rPr>
                <w:rFonts w:ascii="宋体" w:hAnsi="宋体"/>
                <w:color w:val="auto"/>
                <w:szCs w:val="21"/>
                <w:highlight w:val="none"/>
              </w:rPr>
            </w:pPr>
            <w:r>
              <w:rPr>
                <w:rFonts w:hint="eastAsia" w:ascii="宋体" w:hAnsi="宋体"/>
                <w:color w:val="auto"/>
                <w:szCs w:val="21"/>
                <w:highlight w:val="none"/>
              </w:rPr>
              <w:t>静止无功发生器,容量100kvar,额定电压400V;单主机,含控制器，带谐波滤波功能。</w:t>
            </w:r>
          </w:p>
        </w:tc>
      </w:tr>
    </w:tbl>
    <w:p>
      <w:pPr>
        <w:rPr>
          <w:rFonts w:hint="eastAsia" w:ascii="宋体" w:hAnsi="宋体"/>
          <w:b/>
          <w:color w:val="auto"/>
          <w:szCs w:val="21"/>
          <w:highlight w:val="none"/>
        </w:rPr>
      </w:pPr>
      <w:r>
        <w:rPr>
          <w:rFonts w:hint="eastAsia" w:ascii="宋体" w:hAnsi="宋体" w:cs="微软雅黑"/>
          <w:color w:val="auto"/>
          <w:spacing w:val="-1"/>
          <w:kern w:val="0"/>
          <w:szCs w:val="21"/>
          <w:highlight w:val="none"/>
        </w:rPr>
        <w:t>S</w:t>
      </w:r>
      <w:r>
        <w:rPr>
          <w:rFonts w:ascii="宋体" w:hAnsi="宋体" w:cs="微软雅黑"/>
          <w:color w:val="auto"/>
          <w:spacing w:val="-1"/>
          <w:kern w:val="0"/>
          <w:szCs w:val="21"/>
          <w:highlight w:val="none"/>
        </w:rPr>
        <w:t>VG+APF</w:t>
      </w:r>
      <w:r>
        <w:rPr>
          <w:rFonts w:hint="eastAsia" w:ascii="宋体" w:hAnsi="宋体" w:cs="微软雅黑"/>
          <w:color w:val="auto"/>
          <w:spacing w:val="-1"/>
          <w:kern w:val="0"/>
          <w:szCs w:val="21"/>
          <w:highlight w:val="none"/>
        </w:rPr>
        <w:t>有源滤波器选用浙江亿德科技、杭州瑞湃科技、宁波中睿电气等</w:t>
      </w: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ascii="宋体" w:hAnsi="宋体"/>
          <w:b/>
          <w:snapToGrid w:val="0"/>
          <w:color w:val="auto"/>
          <w:spacing w:val="1"/>
          <w:w w:val="99"/>
          <w:kern w:val="0"/>
          <w:szCs w:val="21"/>
          <w:highlight w:val="none"/>
        </w:rPr>
      </w:pPr>
    </w:p>
    <w:p>
      <w:pPr>
        <w:autoSpaceDE w:val="0"/>
        <w:autoSpaceDN w:val="0"/>
        <w:adjustRightInd w:val="0"/>
        <w:snapToGrid w:val="0"/>
        <w:spacing w:line="360" w:lineRule="auto"/>
        <w:jc w:val="center"/>
        <w:outlineLvl w:val="0"/>
        <w:rPr>
          <w:rFonts w:hint="eastAsia" w:ascii="宋体" w:hAnsi="宋体"/>
          <w:b/>
          <w:snapToGrid w:val="0"/>
          <w:color w:val="auto"/>
          <w:spacing w:val="1"/>
          <w:w w:val="99"/>
          <w:kern w:val="0"/>
          <w:szCs w:val="21"/>
          <w:highlight w:val="none"/>
        </w:rPr>
      </w:pPr>
      <w:r>
        <w:rPr>
          <w:rFonts w:hint="eastAsia" w:ascii="宋体" w:hAnsi="宋体"/>
          <w:b/>
          <w:snapToGrid w:val="0"/>
          <w:color w:val="auto"/>
          <w:spacing w:val="1"/>
          <w:w w:val="99"/>
          <w:kern w:val="0"/>
          <w:szCs w:val="21"/>
          <w:highlight w:val="none"/>
        </w:rPr>
        <w:t>七、变频柜技术规范书</w:t>
      </w:r>
      <w:bookmarkEnd w:id="129"/>
    </w:p>
    <w:p>
      <w:pPr>
        <w:spacing w:line="360" w:lineRule="auto"/>
        <w:rPr>
          <w:rFonts w:hint="eastAsia" w:ascii="宋体" w:hAnsi="宋体" w:cs="宋体"/>
          <w:b/>
          <w:color w:val="auto"/>
          <w:szCs w:val="21"/>
          <w:highlight w:val="none"/>
        </w:rPr>
      </w:pPr>
    </w:p>
    <w:p>
      <w:pPr>
        <w:spacing w:line="360" w:lineRule="auto"/>
        <w:outlineLvl w:val="1"/>
        <w:rPr>
          <w:rFonts w:hint="eastAsia" w:ascii="宋体" w:hAnsi="宋体" w:cs="宋体"/>
          <w:b/>
          <w:color w:val="auto"/>
          <w:szCs w:val="21"/>
          <w:highlight w:val="none"/>
        </w:rPr>
      </w:pPr>
      <w:bookmarkStart w:id="172" w:name="_Toc7867"/>
      <w:r>
        <w:rPr>
          <w:rFonts w:hint="eastAsia" w:ascii="宋体" w:hAnsi="宋体" w:cs="宋体"/>
          <w:b/>
          <w:color w:val="auto"/>
          <w:szCs w:val="21"/>
          <w:highlight w:val="none"/>
        </w:rPr>
        <w:t>1.1环境条件</w:t>
      </w:r>
      <w:bookmarkEnd w:id="172"/>
    </w:p>
    <w:p>
      <w:pPr>
        <w:numPr>
          <w:ilvl w:val="0"/>
          <w:numId w:val="39"/>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极端最高温度：       40℃</w:t>
      </w:r>
    </w:p>
    <w:p>
      <w:pPr>
        <w:numPr>
          <w:ilvl w:val="0"/>
          <w:numId w:val="39"/>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极端最低温度：      -34,4℃</w:t>
      </w:r>
    </w:p>
    <w:p>
      <w:pPr>
        <w:numPr>
          <w:ilvl w:val="0"/>
          <w:numId w:val="39"/>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海拔高度：           平均1500m</w:t>
      </w:r>
    </w:p>
    <w:p>
      <w:pPr>
        <w:numPr>
          <w:ilvl w:val="0"/>
          <w:numId w:val="39"/>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相对湿度：           10%一90%</w:t>
      </w:r>
    </w:p>
    <w:p>
      <w:pPr>
        <w:numPr>
          <w:ilvl w:val="0"/>
          <w:numId w:val="39"/>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 xml:space="preserve">地震烈度：          </w:t>
      </w:r>
      <w:r>
        <w:rPr>
          <w:rFonts w:ascii="宋体" w:hAnsi="宋体" w:cs="宋体"/>
          <w:bCs/>
          <w:color w:val="auto"/>
          <w:szCs w:val="21"/>
          <w:highlight w:val="none"/>
        </w:rPr>
        <w:t xml:space="preserve"> 8</w:t>
      </w:r>
      <w:r>
        <w:rPr>
          <w:rFonts w:hint="eastAsia" w:ascii="宋体" w:hAnsi="宋体" w:cs="宋体"/>
          <w:bCs/>
          <w:color w:val="auto"/>
          <w:szCs w:val="21"/>
          <w:highlight w:val="none"/>
        </w:rPr>
        <w:t>度</w:t>
      </w:r>
    </w:p>
    <w:p>
      <w:pPr>
        <w:numPr>
          <w:ilvl w:val="0"/>
          <w:numId w:val="39"/>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污秽等级:            III 级</w:t>
      </w:r>
    </w:p>
    <w:p>
      <w:pPr>
        <w:pStyle w:val="2"/>
        <w:spacing w:before="13" w:line="360" w:lineRule="auto"/>
        <w:ind w:right="-603" w:rightChars="-287"/>
        <w:rPr>
          <w:rFonts w:hint="eastAsia" w:ascii="宋体" w:hAnsi="宋体" w:eastAsia="宋体" w:cs="宋体"/>
          <w:b/>
          <w:bCs/>
          <w:color w:val="auto"/>
          <w:sz w:val="21"/>
          <w:szCs w:val="21"/>
          <w:highlight w:val="none"/>
        </w:rPr>
      </w:pPr>
      <w:bookmarkStart w:id="173" w:name="_Toc7177"/>
      <w:r>
        <w:rPr>
          <w:rFonts w:hint="eastAsia" w:ascii="宋体" w:hAnsi="宋体" w:eastAsia="宋体" w:cs="宋体"/>
          <w:b/>
          <w:bCs/>
          <w:color w:val="auto"/>
          <w:sz w:val="21"/>
          <w:szCs w:val="21"/>
          <w:highlight w:val="none"/>
        </w:rPr>
        <w:t>1.2技术要求</w:t>
      </w:r>
      <w:bookmarkEnd w:id="173"/>
    </w:p>
    <w:p>
      <w:pPr>
        <w:pStyle w:val="6"/>
        <w:spacing w:before="160" w:line="360" w:lineRule="auto"/>
        <w:ind w:right="82" w:rightChars="39" w:firstLine="420" w:firstLineChars="200"/>
        <w:rPr>
          <w:rFonts w:hint="eastAsia" w:ascii="宋体" w:hAnsi="宋体" w:cs="宋体"/>
          <w:color w:val="auto"/>
          <w:szCs w:val="21"/>
          <w:highlight w:val="none"/>
        </w:rPr>
      </w:pPr>
      <w:r>
        <w:rPr>
          <w:rFonts w:hint="eastAsia" w:ascii="宋体" w:hAnsi="宋体" w:cs="宋体"/>
          <w:color w:val="auto"/>
          <w:szCs w:val="21"/>
          <w:highlight w:val="none"/>
        </w:rPr>
        <w:t>1</w:t>
      </w:r>
      <w:r>
        <w:rPr>
          <w:rFonts w:hint="eastAsia" w:ascii="宋体" w:hAnsi="宋体" w:cs="宋体"/>
          <w:color w:val="auto"/>
          <w:kern w:val="0"/>
          <w:szCs w:val="21"/>
          <w:highlight w:val="none"/>
        </w:rPr>
        <w:t>.2.1</w:t>
      </w:r>
      <w:r>
        <w:rPr>
          <w:rFonts w:hint="eastAsia" w:ascii="宋体" w:hAnsi="宋体" w:cs="宋体"/>
          <w:color w:val="auto"/>
          <w:szCs w:val="21"/>
          <w:highlight w:val="none"/>
        </w:rPr>
        <w:t>变频柜功能：</w:t>
      </w:r>
    </w:p>
    <w:p>
      <w:pPr>
        <w:pStyle w:val="6"/>
        <w:spacing w:line="360" w:lineRule="auto"/>
        <w:ind w:right="82" w:rightChars="39" w:firstLine="420" w:firstLineChars="200"/>
        <w:rPr>
          <w:rFonts w:hint="eastAsia" w:ascii="宋体" w:hAnsi="宋体" w:cs="宋体"/>
          <w:color w:val="auto"/>
          <w:szCs w:val="21"/>
          <w:highlight w:val="none"/>
        </w:rPr>
      </w:pPr>
      <w:r>
        <w:rPr>
          <w:rFonts w:hint="eastAsia" w:ascii="宋体" w:hAnsi="宋体" w:cs="宋体"/>
          <w:color w:val="auto"/>
          <w:kern w:val="0"/>
          <w:szCs w:val="21"/>
          <w:highlight w:val="none"/>
        </w:rPr>
        <w:t xml:space="preserve">1.2.1.1 </w:t>
      </w:r>
      <w:r>
        <w:rPr>
          <w:rFonts w:hint="eastAsia" w:ascii="宋体" w:hAnsi="宋体" w:cs="宋体"/>
          <w:color w:val="auto"/>
          <w:spacing w:val="-1"/>
          <w:szCs w:val="21"/>
          <w:highlight w:val="none"/>
        </w:rPr>
        <w:t>本地、远程控制：变频柜在本地模式下控制设备的启动和停止、控制运行的频率，配备中文操作面板进行频率的设置；在远程模式下由工作站控制变频</w:t>
      </w:r>
      <w:r>
        <w:rPr>
          <w:rFonts w:hint="eastAsia" w:ascii="宋体" w:hAnsi="宋体" w:cs="宋体"/>
          <w:color w:val="auto"/>
          <w:szCs w:val="21"/>
          <w:highlight w:val="none"/>
        </w:rPr>
        <w:t>柜</w:t>
      </w:r>
      <w:r>
        <w:rPr>
          <w:rFonts w:hint="eastAsia" w:ascii="宋体" w:hAnsi="宋体" w:cs="宋体"/>
          <w:color w:val="auto"/>
          <w:spacing w:val="-1"/>
          <w:szCs w:val="21"/>
          <w:highlight w:val="none"/>
        </w:rPr>
        <w:t>的启动和停止、控制运行的频率。</w:t>
      </w:r>
    </w:p>
    <w:p>
      <w:pPr>
        <w:pStyle w:val="6"/>
        <w:spacing w:line="360" w:lineRule="auto"/>
        <w:ind w:right="82" w:rightChars="39" w:firstLine="420" w:firstLineChars="200"/>
        <w:rPr>
          <w:rFonts w:hint="eastAsia" w:ascii="宋体" w:hAnsi="宋体" w:cs="宋体"/>
          <w:color w:val="auto"/>
          <w:szCs w:val="21"/>
          <w:highlight w:val="none"/>
        </w:rPr>
      </w:pPr>
      <w:r>
        <w:rPr>
          <w:rFonts w:hint="eastAsia" w:ascii="宋体" w:hAnsi="宋体" w:cs="宋体"/>
          <w:color w:val="auto"/>
          <w:kern w:val="0"/>
          <w:szCs w:val="21"/>
          <w:highlight w:val="none"/>
        </w:rPr>
        <w:t xml:space="preserve">1.2.1.2 </w:t>
      </w:r>
      <w:r>
        <w:rPr>
          <w:rFonts w:hint="eastAsia" w:ascii="宋体" w:hAnsi="宋体" w:cs="宋体"/>
          <w:color w:val="auto"/>
          <w:spacing w:val="-2"/>
          <w:szCs w:val="21"/>
          <w:highlight w:val="none"/>
        </w:rPr>
        <w:t>工频/变频选择：在本地模式下可自由选择工频/变频模式</w:t>
      </w:r>
      <w:r>
        <w:rPr>
          <w:rFonts w:hint="eastAsia" w:ascii="宋体" w:hAnsi="宋体" w:cs="宋体"/>
          <w:color w:val="auto"/>
          <w:szCs w:val="21"/>
          <w:highlight w:val="none"/>
        </w:rPr>
        <w:t>。</w:t>
      </w:r>
    </w:p>
    <w:p>
      <w:pPr>
        <w:pStyle w:val="6"/>
        <w:spacing w:before="137" w:line="360" w:lineRule="auto"/>
        <w:ind w:right="82" w:rightChars="39" w:firstLine="420" w:firstLineChars="200"/>
        <w:rPr>
          <w:rFonts w:hint="eastAsia" w:ascii="宋体" w:hAnsi="宋体" w:cs="宋体"/>
          <w:color w:val="auto"/>
          <w:szCs w:val="21"/>
          <w:highlight w:val="none"/>
        </w:rPr>
      </w:pPr>
      <w:r>
        <w:rPr>
          <w:rFonts w:hint="eastAsia" w:ascii="宋体" w:hAnsi="宋体" w:cs="宋体"/>
          <w:color w:val="auto"/>
          <w:kern w:val="0"/>
          <w:szCs w:val="21"/>
          <w:highlight w:val="none"/>
        </w:rPr>
        <w:t xml:space="preserve">1.2.1.3 </w:t>
      </w:r>
      <w:r>
        <w:rPr>
          <w:rFonts w:hint="eastAsia" w:ascii="宋体" w:hAnsi="宋体" w:cs="宋体"/>
          <w:color w:val="auto"/>
          <w:szCs w:val="21"/>
          <w:highlight w:val="none"/>
        </w:rPr>
        <w:t>连接线接口：禁止使用塑料接线端子盒，应采用铜排作为连接泵线的独立绝缘端子。</w:t>
      </w:r>
    </w:p>
    <w:p>
      <w:pPr>
        <w:pStyle w:val="6"/>
        <w:spacing w:line="360" w:lineRule="auto"/>
        <w:ind w:right="82" w:rightChars="39" w:firstLine="420" w:firstLineChars="200"/>
        <w:rPr>
          <w:rFonts w:hint="eastAsia" w:ascii="宋体" w:hAnsi="宋体" w:cs="宋体"/>
          <w:color w:val="auto"/>
          <w:szCs w:val="21"/>
          <w:highlight w:val="none"/>
        </w:rPr>
      </w:pPr>
      <w:r>
        <w:rPr>
          <w:rFonts w:hint="eastAsia" w:ascii="宋体" w:hAnsi="宋体" w:cs="宋体"/>
          <w:color w:val="auto"/>
          <w:kern w:val="0"/>
          <w:szCs w:val="21"/>
          <w:highlight w:val="none"/>
        </w:rPr>
        <w:t xml:space="preserve">1.2.1.4 </w:t>
      </w:r>
      <w:r>
        <w:rPr>
          <w:rFonts w:hint="eastAsia" w:ascii="宋体" w:hAnsi="宋体" w:cs="宋体"/>
          <w:color w:val="auto"/>
          <w:spacing w:val="1"/>
          <w:szCs w:val="21"/>
          <w:highlight w:val="none"/>
        </w:rPr>
        <w:t>通讯接口：每台变频柜需配有远传接口，1</w:t>
      </w:r>
      <w:r>
        <w:rPr>
          <w:rFonts w:hint="eastAsia" w:ascii="宋体" w:hAnsi="宋体" w:cs="宋体"/>
          <w:color w:val="auto"/>
          <w:szCs w:val="21"/>
          <w:highlight w:val="none"/>
        </w:rPr>
        <w:t>个RS-485</w:t>
      </w:r>
      <w:r>
        <w:rPr>
          <w:rFonts w:hint="eastAsia" w:ascii="宋体" w:hAnsi="宋体" w:cs="宋体"/>
          <w:color w:val="auto"/>
          <w:spacing w:val="1"/>
          <w:szCs w:val="21"/>
          <w:highlight w:val="none"/>
        </w:rPr>
        <w:t>接口、1</w:t>
      </w:r>
      <w:r>
        <w:rPr>
          <w:rFonts w:hint="eastAsia" w:ascii="宋体" w:hAnsi="宋体" w:cs="宋体"/>
          <w:color w:val="auto"/>
          <w:szCs w:val="21"/>
          <w:highlight w:val="none"/>
        </w:rPr>
        <w:t>个AI、1个AO、3</w:t>
      </w:r>
      <w:r>
        <w:rPr>
          <w:rFonts w:hint="eastAsia" w:ascii="宋体" w:hAnsi="宋体" w:cs="宋体"/>
          <w:color w:val="auto"/>
          <w:spacing w:val="5"/>
          <w:szCs w:val="21"/>
          <w:highlight w:val="none"/>
        </w:rPr>
        <w:t xml:space="preserve"> </w:t>
      </w:r>
      <w:r>
        <w:rPr>
          <w:rFonts w:hint="eastAsia" w:ascii="宋体" w:hAnsi="宋体" w:cs="宋体"/>
          <w:color w:val="auto"/>
          <w:szCs w:val="21"/>
          <w:highlight w:val="none"/>
        </w:rPr>
        <w:t>个DO、7个</w:t>
      </w:r>
      <w:r>
        <w:rPr>
          <w:rFonts w:hint="eastAsia" w:ascii="宋体" w:hAnsi="宋体" w:cs="宋体"/>
          <w:color w:val="auto"/>
          <w:spacing w:val="-1"/>
          <w:szCs w:val="21"/>
          <w:highlight w:val="none"/>
        </w:rPr>
        <w:t>D</w:t>
      </w:r>
      <w:r>
        <w:rPr>
          <w:rFonts w:hint="eastAsia" w:ascii="宋体" w:hAnsi="宋体" w:cs="宋体"/>
          <w:color w:val="auto"/>
          <w:szCs w:val="21"/>
          <w:highlight w:val="none"/>
        </w:rPr>
        <w:t>I（分别</w:t>
      </w:r>
      <w:r>
        <w:rPr>
          <w:rFonts w:hint="eastAsia" w:ascii="宋体" w:hAnsi="宋体" w:cs="宋体"/>
          <w:color w:val="auto"/>
          <w:spacing w:val="-30"/>
          <w:szCs w:val="21"/>
          <w:highlight w:val="none"/>
        </w:rPr>
        <w:t>为</w:t>
      </w:r>
      <w:r>
        <w:rPr>
          <w:rFonts w:hint="eastAsia" w:cs="宋体"/>
          <w:color w:val="auto"/>
          <w:spacing w:val="-30"/>
          <w:szCs w:val="21"/>
          <w:highlight w:val="none"/>
        </w:rPr>
        <w:t>:</w:t>
      </w:r>
      <w:r>
        <w:rPr>
          <w:rFonts w:hint="eastAsia" w:ascii="宋体" w:hAnsi="宋体" w:cs="宋体"/>
          <w:color w:val="auto"/>
          <w:szCs w:val="21"/>
          <w:highlight w:val="none"/>
        </w:rPr>
        <w:t>变频器运行通讯口、频率反馈、频率给定、启动运行、本</w:t>
      </w:r>
      <w:r>
        <w:rPr>
          <w:rFonts w:hint="eastAsia" w:ascii="宋体" w:hAnsi="宋体" w:cs="宋体"/>
          <w:color w:val="auto"/>
          <w:spacing w:val="-1"/>
          <w:szCs w:val="21"/>
          <w:highlight w:val="none"/>
        </w:rPr>
        <w:t>地/远程读取、</w:t>
      </w:r>
      <w:r>
        <w:rPr>
          <w:rFonts w:hint="eastAsia" w:ascii="宋体" w:hAnsi="宋体" w:cs="宋体"/>
          <w:color w:val="auto"/>
          <w:szCs w:val="21"/>
          <w:highlight w:val="none"/>
        </w:rPr>
        <w:t>工频运行、变频运行、工频故障、变频故障）。</w:t>
      </w:r>
    </w:p>
    <w:p>
      <w:pPr>
        <w:pStyle w:val="6"/>
        <w:spacing w:line="360" w:lineRule="auto"/>
        <w:ind w:right="82" w:rightChars="39" w:firstLine="420" w:firstLineChars="200"/>
        <w:rPr>
          <w:rFonts w:hint="eastAsia" w:ascii="宋体" w:hAnsi="宋体" w:cs="宋体"/>
          <w:color w:val="auto"/>
          <w:szCs w:val="21"/>
          <w:highlight w:val="none"/>
        </w:rPr>
      </w:pPr>
      <w:r>
        <w:rPr>
          <w:rFonts w:hint="eastAsia" w:ascii="宋体" w:hAnsi="宋体" w:cs="宋体"/>
          <w:color w:val="auto"/>
          <w:kern w:val="0"/>
          <w:szCs w:val="21"/>
          <w:highlight w:val="none"/>
        </w:rPr>
        <w:t xml:space="preserve">1.2.1.5 </w:t>
      </w:r>
      <w:r>
        <w:rPr>
          <w:rFonts w:hint="eastAsia" w:ascii="宋体" w:hAnsi="宋体" w:cs="宋体"/>
          <w:color w:val="auto"/>
          <w:szCs w:val="21"/>
          <w:highlight w:val="none"/>
        </w:rPr>
        <w:t>变频柜进出线按图纸要求，由柜顶通风扇热。</w:t>
      </w:r>
    </w:p>
    <w:p>
      <w:pPr>
        <w:pStyle w:val="6"/>
        <w:spacing w:line="360" w:lineRule="auto"/>
        <w:ind w:right="82" w:rightChars="39" w:firstLine="420" w:firstLineChars="200"/>
        <w:rPr>
          <w:rFonts w:hint="eastAsia" w:ascii="宋体" w:hAnsi="宋体" w:cs="宋体"/>
          <w:color w:val="auto"/>
          <w:szCs w:val="21"/>
          <w:highlight w:val="none"/>
        </w:rPr>
      </w:pPr>
      <w:r>
        <w:rPr>
          <w:rFonts w:hint="eastAsia" w:ascii="宋体" w:hAnsi="宋体" w:cs="宋体"/>
          <w:color w:val="auto"/>
          <w:kern w:val="0"/>
          <w:szCs w:val="21"/>
          <w:highlight w:val="none"/>
        </w:rPr>
        <w:t xml:space="preserve">1.2.1.6 </w:t>
      </w:r>
      <w:r>
        <w:rPr>
          <w:rFonts w:hint="eastAsia" w:ascii="宋体" w:hAnsi="宋体" w:cs="宋体"/>
          <w:color w:val="auto"/>
          <w:spacing w:val="-1"/>
          <w:szCs w:val="21"/>
          <w:highlight w:val="none"/>
        </w:rPr>
        <w:t>变频柜尺寸：按图纸要求</w:t>
      </w:r>
    </w:p>
    <w:p>
      <w:pPr>
        <w:pStyle w:val="6"/>
        <w:spacing w:line="360" w:lineRule="auto"/>
        <w:ind w:right="82" w:rightChars="39" w:firstLine="420" w:firstLineChars="200"/>
        <w:rPr>
          <w:rFonts w:hint="eastAsia" w:ascii="宋体" w:hAnsi="宋体" w:cs="宋体"/>
          <w:color w:val="auto"/>
          <w:szCs w:val="21"/>
          <w:highlight w:val="none"/>
        </w:rPr>
      </w:pPr>
      <w:r>
        <w:rPr>
          <w:rFonts w:hint="eastAsia" w:ascii="宋体" w:hAnsi="宋体" w:cs="宋体"/>
          <w:color w:val="auto"/>
          <w:kern w:val="0"/>
          <w:szCs w:val="21"/>
          <w:highlight w:val="none"/>
        </w:rPr>
        <w:t>1.2.2</w:t>
      </w:r>
      <w:r>
        <w:rPr>
          <w:rFonts w:hint="eastAsia" w:ascii="宋体" w:hAnsi="宋体" w:cs="宋体"/>
          <w:color w:val="auto"/>
          <w:spacing w:val="9"/>
          <w:szCs w:val="21"/>
          <w:highlight w:val="none"/>
        </w:rPr>
        <w:t xml:space="preserve"> </w:t>
      </w:r>
      <w:r>
        <w:rPr>
          <w:rFonts w:hint="eastAsia" w:ascii="宋体" w:hAnsi="宋体" w:cs="宋体"/>
          <w:color w:val="auto"/>
          <w:szCs w:val="21"/>
          <w:highlight w:val="none"/>
        </w:rPr>
        <w:t>变频调速装置</w:t>
      </w:r>
    </w:p>
    <w:p>
      <w:pPr>
        <w:pStyle w:val="6"/>
        <w:tabs>
          <w:tab w:val="left" w:pos="1171"/>
        </w:tabs>
        <w:spacing w:line="360" w:lineRule="auto"/>
        <w:ind w:right="82" w:rightChars="39" w:firstLine="420" w:firstLineChars="200"/>
        <w:rPr>
          <w:rFonts w:hint="eastAsia" w:ascii="宋体" w:hAnsi="宋体" w:cs="宋体"/>
          <w:color w:val="auto"/>
          <w:w w:val="99"/>
          <w:szCs w:val="21"/>
          <w:highlight w:val="none"/>
        </w:rPr>
      </w:pPr>
      <w:r>
        <w:rPr>
          <w:rFonts w:hint="eastAsia" w:ascii="宋体" w:hAnsi="宋体" w:cs="宋体"/>
          <w:color w:val="auto"/>
          <w:kern w:val="0"/>
          <w:szCs w:val="21"/>
          <w:highlight w:val="none"/>
        </w:rPr>
        <w:t>1.2.2.1</w:t>
      </w:r>
      <w:r>
        <w:rPr>
          <w:rFonts w:hint="eastAsia" w:ascii="宋体" w:hAnsi="宋体" w:cs="宋体"/>
          <w:color w:val="auto"/>
          <w:szCs w:val="21"/>
          <w:highlight w:val="none"/>
        </w:rPr>
        <w:t>变频器的设计、制造、测试和检查满足下列标准:</w:t>
      </w:r>
      <w:r>
        <w:rPr>
          <w:rFonts w:hint="eastAsia" w:ascii="宋体" w:hAnsi="宋体" w:cs="宋体"/>
          <w:color w:val="auto"/>
          <w:w w:val="99"/>
          <w:szCs w:val="21"/>
          <w:highlight w:val="none"/>
        </w:rPr>
        <w:t xml:space="preserve"> </w:t>
      </w:r>
    </w:p>
    <w:p>
      <w:pPr>
        <w:pStyle w:val="6"/>
        <w:tabs>
          <w:tab w:val="left" w:pos="1171"/>
        </w:tabs>
        <w:spacing w:line="360" w:lineRule="auto"/>
        <w:ind w:right="82" w:rightChars="39" w:firstLine="416" w:firstLineChars="200"/>
        <w:rPr>
          <w:rFonts w:hint="eastAsia" w:ascii="宋体" w:hAnsi="宋体" w:cs="宋体"/>
          <w:color w:val="auto"/>
          <w:szCs w:val="21"/>
          <w:highlight w:val="none"/>
        </w:rPr>
      </w:pPr>
      <w:r>
        <w:rPr>
          <w:rFonts w:hint="eastAsia" w:ascii="宋体" w:hAnsi="宋体" w:cs="宋体"/>
          <w:color w:val="auto"/>
          <w:spacing w:val="-1"/>
          <w:szCs w:val="21"/>
          <w:highlight w:val="none"/>
        </w:rPr>
        <w:t>IEC-439</w:t>
      </w:r>
      <w:r>
        <w:rPr>
          <w:rFonts w:hint="eastAsia" w:cs="宋体"/>
          <w:color w:val="auto"/>
          <w:spacing w:val="-1"/>
          <w:szCs w:val="21"/>
          <w:highlight w:val="none"/>
        </w:rPr>
        <w:t xml:space="preserve">   </w:t>
      </w:r>
      <w:r>
        <w:rPr>
          <w:rFonts w:hint="eastAsia" w:ascii="宋体" w:hAnsi="宋体" w:cs="宋体"/>
          <w:color w:val="auto"/>
          <w:szCs w:val="21"/>
          <w:highlight w:val="none"/>
        </w:rPr>
        <w:t>低压开关和控制设备的工厂组装</w:t>
      </w:r>
    </w:p>
    <w:p>
      <w:pPr>
        <w:pStyle w:val="6"/>
        <w:spacing w:before="15" w:line="360" w:lineRule="auto"/>
        <w:ind w:right="82" w:rightChars="39" w:firstLine="416" w:firstLineChars="200"/>
        <w:rPr>
          <w:rFonts w:hint="eastAsia" w:ascii="宋体" w:hAnsi="宋体" w:cs="宋体"/>
          <w:color w:val="auto"/>
          <w:szCs w:val="21"/>
          <w:highlight w:val="none"/>
        </w:rPr>
      </w:pPr>
      <w:r>
        <w:rPr>
          <w:rFonts w:hint="eastAsia" w:ascii="宋体" w:hAnsi="宋体" w:cs="宋体"/>
          <w:color w:val="auto"/>
          <w:spacing w:val="-1"/>
          <w:szCs w:val="21"/>
          <w:highlight w:val="none"/>
        </w:rPr>
        <w:t>IEC-529</w:t>
      </w:r>
      <w:r>
        <w:rPr>
          <w:rFonts w:hint="eastAsia" w:ascii="宋体" w:hAnsi="宋体" w:cs="宋体"/>
          <w:color w:val="auto"/>
          <w:szCs w:val="21"/>
          <w:highlight w:val="none"/>
        </w:rPr>
        <w:t xml:space="preserve"> </w:t>
      </w:r>
      <w:r>
        <w:rPr>
          <w:rFonts w:hint="eastAsia" w:cs="宋体"/>
          <w:color w:val="auto"/>
          <w:szCs w:val="21"/>
          <w:highlight w:val="none"/>
        </w:rPr>
        <w:t xml:space="preserve">  </w:t>
      </w:r>
      <w:r>
        <w:rPr>
          <w:rFonts w:hint="eastAsia" w:ascii="宋体" w:hAnsi="宋体" w:cs="宋体"/>
          <w:color w:val="auto"/>
          <w:szCs w:val="21"/>
          <w:highlight w:val="none"/>
        </w:rPr>
        <w:t>外壳保护等级的分类</w:t>
      </w:r>
    </w:p>
    <w:p>
      <w:pPr>
        <w:pStyle w:val="6"/>
        <w:spacing w:line="360" w:lineRule="auto"/>
        <w:ind w:right="82" w:rightChars="39" w:firstLine="416" w:firstLineChars="200"/>
        <w:rPr>
          <w:rFonts w:hint="eastAsia" w:ascii="宋体" w:hAnsi="宋体" w:cs="宋体"/>
          <w:color w:val="auto"/>
          <w:szCs w:val="21"/>
          <w:highlight w:val="none"/>
        </w:rPr>
      </w:pPr>
      <w:r>
        <w:rPr>
          <w:rFonts w:hint="eastAsia" w:ascii="宋体" w:hAnsi="宋体" w:cs="宋体"/>
          <w:color w:val="auto"/>
          <w:spacing w:val="-1"/>
          <w:szCs w:val="21"/>
          <w:highlight w:val="none"/>
        </w:rPr>
        <w:t>IEC-142-2</w:t>
      </w:r>
      <w:r>
        <w:rPr>
          <w:rFonts w:hint="eastAsia" w:ascii="宋体" w:hAnsi="宋体" w:cs="宋体"/>
          <w:color w:val="auto"/>
          <w:szCs w:val="21"/>
          <w:highlight w:val="none"/>
        </w:rPr>
        <w:t xml:space="preserve"> 半导体自换相变流器</w:t>
      </w:r>
    </w:p>
    <w:p>
      <w:pPr>
        <w:pStyle w:val="6"/>
        <w:tabs>
          <w:tab w:val="left" w:pos="1171"/>
        </w:tabs>
        <w:spacing w:line="360" w:lineRule="auto"/>
        <w:ind w:right="82" w:rightChars="39" w:firstLine="416" w:firstLineChars="200"/>
        <w:rPr>
          <w:rFonts w:hint="eastAsia" w:ascii="宋体" w:hAnsi="宋体" w:cs="宋体"/>
          <w:color w:val="auto"/>
          <w:szCs w:val="21"/>
          <w:highlight w:val="none"/>
        </w:rPr>
      </w:pPr>
      <w:r>
        <w:rPr>
          <w:rFonts w:hint="eastAsia" w:ascii="宋体" w:hAnsi="宋体" w:cs="宋体"/>
          <w:color w:val="auto"/>
          <w:spacing w:val="-1"/>
          <w:szCs w:val="21"/>
          <w:highlight w:val="none"/>
        </w:rPr>
        <w:t>IEC-801</w:t>
      </w:r>
      <w:r>
        <w:rPr>
          <w:rFonts w:hint="eastAsia" w:ascii="宋体" w:hAnsi="宋体" w:cs="宋体"/>
          <w:color w:val="auto"/>
          <w:spacing w:val="-1"/>
          <w:szCs w:val="21"/>
          <w:highlight w:val="none"/>
        </w:rPr>
        <w:tab/>
      </w:r>
      <w:r>
        <w:rPr>
          <w:rFonts w:hint="eastAsia" w:ascii="宋体" w:hAnsi="宋体" w:cs="宋体"/>
          <w:color w:val="auto"/>
          <w:szCs w:val="21"/>
          <w:highlight w:val="none"/>
        </w:rPr>
        <w:t>工业生产计量和控制设备的电磁兼容变频调速装置须有标识、铭牌（包括生产厂商、产品型号、规格、出厂日期、主要技术参数等。标识、铭牌语言为中文）。</w:t>
      </w:r>
    </w:p>
    <w:p>
      <w:pPr>
        <w:pStyle w:val="6"/>
        <w:spacing w:before="9" w:line="360" w:lineRule="auto"/>
        <w:ind w:right="82" w:rightChars="39" w:firstLine="420" w:firstLineChars="200"/>
        <w:rPr>
          <w:rFonts w:hint="eastAsia" w:ascii="宋体" w:hAnsi="宋体" w:cs="宋体"/>
          <w:color w:val="auto"/>
          <w:szCs w:val="21"/>
          <w:highlight w:val="none"/>
        </w:rPr>
      </w:pPr>
      <w:r>
        <w:rPr>
          <w:rFonts w:hint="eastAsia" w:ascii="宋体" w:hAnsi="宋体" w:cs="宋体"/>
          <w:color w:val="auto"/>
          <w:kern w:val="0"/>
          <w:szCs w:val="21"/>
          <w:highlight w:val="none"/>
        </w:rPr>
        <w:t>1.2.2.2</w:t>
      </w:r>
      <w:r>
        <w:rPr>
          <w:rFonts w:hint="eastAsia" w:ascii="宋体" w:hAnsi="宋体" w:cs="宋体"/>
          <w:color w:val="auto"/>
          <w:szCs w:val="21"/>
          <w:highlight w:val="none"/>
        </w:rPr>
        <w:t xml:space="preserve"> 一般性能：变频器采用晶体模块型，用于三相鼠笼异步电机的无级调速。变频器适合于电机和负载要求</w:t>
      </w:r>
      <w:r>
        <w:rPr>
          <w:rFonts w:hint="eastAsia" w:ascii="宋体" w:hAnsi="宋体" w:cs="宋体"/>
          <w:color w:val="auto"/>
          <w:spacing w:val="-4"/>
          <w:szCs w:val="21"/>
          <w:highlight w:val="none"/>
        </w:rPr>
        <w:t>，</w:t>
      </w:r>
      <w:r>
        <w:rPr>
          <w:rFonts w:hint="eastAsia" w:ascii="宋体" w:hAnsi="宋体" w:cs="宋体"/>
          <w:color w:val="auto"/>
          <w:spacing w:val="-53"/>
          <w:szCs w:val="21"/>
          <w:highlight w:val="none"/>
        </w:rPr>
        <w:t>即</w:t>
      </w:r>
      <w:r>
        <w:rPr>
          <w:rFonts w:hint="eastAsia" w:ascii="宋体" w:hAnsi="宋体" w:cs="宋体"/>
          <w:color w:val="auto"/>
          <w:szCs w:val="21"/>
          <w:highlight w:val="none"/>
        </w:rPr>
        <w:t>变频器的额定输出应满足电机消耗和负载的特性曲</w:t>
      </w:r>
      <w:r>
        <w:rPr>
          <w:rFonts w:hint="eastAsia" w:ascii="宋体" w:hAnsi="宋体" w:cs="宋体"/>
          <w:color w:val="auto"/>
          <w:spacing w:val="-4"/>
          <w:szCs w:val="21"/>
          <w:highlight w:val="none"/>
        </w:rPr>
        <w:t>线</w:t>
      </w:r>
      <w:r>
        <w:rPr>
          <w:rFonts w:hint="eastAsia" w:ascii="宋体" w:hAnsi="宋体" w:cs="宋体"/>
          <w:color w:val="auto"/>
          <w:szCs w:val="21"/>
          <w:highlight w:val="none"/>
        </w:rPr>
        <w:t>（转矩/</w:t>
      </w:r>
      <w:r>
        <w:rPr>
          <w:rFonts w:hint="eastAsia" w:ascii="宋体" w:hAnsi="宋体" w:cs="宋体"/>
          <w:color w:val="auto"/>
          <w:spacing w:val="-1"/>
          <w:szCs w:val="21"/>
          <w:highlight w:val="none"/>
        </w:rPr>
        <w:t>速度、功率/速度曲线）。</w:t>
      </w:r>
    </w:p>
    <w:p>
      <w:pPr>
        <w:pStyle w:val="6"/>
        <w:spacing w:line="360" w:lineRule="auto"/>
        <w:ind w:right="82" w:rightChars="39" w:firstLine="420" w:firstLineChars="200"/>
        <w:rPr>
          <w:rFonts w:hint="eastAsia" w:ascii="宋体" w:hAnsi="宋体" w:cs="宋体"/>
          <w:color w:val="auto"/>
          <w:szCs w:val="21"/>
          <w:highlight w:val="none"/>
        </w:rPr>
      </w:pPr>
      <w:r>
        <w:rPr>
          <w:rFonts w:hint="eastAsia" w:ascii="宋体" w:hAnsi="宋体" w:cs="宋体"/>
          <w:color w:val="auto"/>
          <w:szCs w:val="21"/>
          <w:highlight w:val="none"/>
        </w:rPr>
        <w:t>每个变频器应包括下列主要部分：</w:t>
      </w:r>
    </w:p>
    <w:p>
      <w:pPr>
        <w:pStyle w:val="6"/>
        <w:spacing w:line="360" w:lineRule="auto"/>
        <w:ind w:right="82" w:rightChars="39" w:firstLine="420" w:firstLineChars="200"/>
        <w:rPr>
          <w:rFonts w:hint="eastAsia" w:ascii="宋体" w:hAnsi="宋体" w:cs="宋体"/>
          <w:color w:val="auto"/>
          <w:szCs w:val="21"/>
          <w:highlight w:val="none"/>
        </w:rPr>
      </w:pPr>
      <w:r>
        <w:rPr>
          <w:rFonts w:hint="eastAsia" w:ascii="宋体" w:hAnsi="宋体" w:cs="宋体"/>
          <w:color w:val="auto"/>
          <w:szCs w:val="21"/>
          <w:highlight w:val="none"/>
        </w:rPr>
        <w:t>主接线输入组件：</w:t>
      </w:r>
    </w:p>
    <w:p>
      <w:pPr>
        <w:numPr>
          <w:ilvl w:val="0"/>
          <w:numId w:val="40"/>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整流单元</w:t>
      </w:r>
    </w:p>
    <w:p>
      <w:pPr>
        <w:numPr>
          <w:ilvl w:val="0"/>
          <w:numId w:val="40"/>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线性电抗器</w:t>
      </w:r>
    </w:p>
    <w:p>
      <w:pPr>
        <w:numPr>
          <w:ilvl w:val="0"/>
          <w:numId w:val="40"/>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中间电路</w:t>
      </w:r>
    </w:p>
    <w:p>
      <w:pPr>
        <w:numPr>
          <w:ilvl w:val="0"/>
          <w:numId w:val="40"/>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递变单元</w:t>
      </w:r>
    </w:p>
    <w:p>
      <w:pPr>
        <w:numPr>
          <w:ilvl w:val="0"/>
          <w:numId w:val="40"/>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控制和电子监测（包括外部I/O信号接口）</w:t>
      </w:r>
    </w:p>
    <w:p>
      <w:pPr>
        <w:numPr>
          <w:ilvl w:val="0"/>
          <w:numId w:val="40"/>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在箱体前面的操作面板</w:t>
      </w:r>
    </w:p>
    <w:p>
      <w:pPr>
        <w:pStyle w:val="6"/>
        <w:spacing w:before="137" w:line="360" w:lineRule="auto"/>
        <w:ind w:right="-603" w:rightChars="-287" w:firstLine="420" w:firstLineChars="200"/>
        <w:rPr>
          <w:rFonts w:hint="eastAsia" w:ascii="宋体" w:hAnsi="宋体" w:cs="宋体"/>
          <w:color w:val="auto"/>
          <w:szCs w:val="21"/>
          <w:highlight w:val="none"/>
        </w:rPr>
      </w:pPr>
      <w:r>
        <w:rPr>
          <w:rFonts w:hint="eastAsia" w:ascii="宋体" w:hAnsi="宋体" w:cs="宋体"/>
          <w:color w:val="auto"/>
          <w:kern w:val="0"/>
          <w:szCs w:val="21"/>
          <w:highlight w:val="none"/>
        </w:rPr>
        <w:t xml:space="preserve">1.2.2.3 </w:t>
      </w:r>
      <w:r>
        <w:rPr>
          <w:rFonts w:hint="eastAsia" w:ascii="宋体" w:hAnsi="宋体" w:cs="宋体"/>
          <w:color w:val="auto"/>
          <w:spacing w:val="7"/>
          <w:szCs w:val="21"/>
          <w:highlight w:val="none"/>
        </w:rPr>
        <w:t xml:space="preserve"> </w:t>
      </w:r>
      <w:r>
        <w:rPr>
          <w:rFonts w:hint="eastAsia" w:ascii="宋体" w:hAnsi="宋体" w:cs="宋体"/>
          <w:color w:val="auto"/>
          <w:szCs w:val="21"/>
          <w:highlight w:val="none"/>
        </w:rPr>
        <w:t>机械性能：</w:t>
      </w:r>
      <w:r>
        <w:rPr>
          <w:rFonts w:hint="eastAsia" w:ascii="宋体" w:hAnsi="宋体" w:cs="宋体"/>
          <w:color w:val="auto"/>
          <w:spacing w:val="-1"/>
          <w:szCs w:val="21"/>
          <w:highlight w:val="none"/>
        </w:rPr>
        <w:t>箱体具有一定的机械强度和严密的结构。箱体做有效的防腐处理，并能防尘、防潮、防水、标准</w:t>
      </w:r>
      <w:r>
        <w:rPr>
          <w:rFonts w:hint="eastAsia" w:ascii="宋体" w:hAnsi="宋体" w:cs="宋体"/>
          <w:color w:val="auto"/>
          <w:szCs w:val="21"/>
          <w:highlight w:val="none"/>
        </w:rPr>
        <w:t>为</w:t>
      </w:r>
      <w:r>
        <w:rPr>
          <w:rFonts w:hint="eastAsia" w:ascii="宋体" w:hAnsi="宋体" w:cs="宋体"/>
          <w:color w:val="auto"/>
          <w:spacing w:val="-1"/>
          <w:szCs w:val="21"/>
          <w:highlight w:val="none"/>
        </w:rPr>
        <w:t>IP21。箱内弱电及强电系统应独立分区。</w:t>
      </w:r>
    </w:p>
    <w:p>
      <w:pPr>
        <w:pStyle w:val="6"/>
        <w:spacing w:line="360" w:lineRule="auto"/>
        <w:ind w:right="-603" w:rightChars="-287" w:firstLine="420" w:firstLineChars="200"/>
        <w:rPr>
          <w:rFonts w:hint="eastAsia" w:ascii="宋体" w:hAnsi="宋体" w:cs="宋体"/>
          <w:color w:val="auto"/>
          <w:szCs w:val="21"/>
          <w:highlight w:val="none"/>
        </w:rPr>
      </w:pPr>
      <w:r>
        <w:rPr>
          <w:rFonts w:hint="eastAsia" w:ascii="宋体" w:hAnsi="宋体" w:cs="宋体"/>
          <w:color w:val="auto"/>
          <w:szCs w:val="21"/>
          <w:highlight w:val="none"/>
        </w:rPr>
        <w:t>冷却系统：</w:t>
      </w:r>
      <w:r>
        <w:rPr>
          <w:rFonts w:hint="eastAsia" w:ascii="宋体" w:hAnsi="宋体" w:cs="宋体"/>
          <w:color w:val="auto"/>
          <w:spacing w:val="-4"/>
          <w:szCs w:val="21"/>
          <w:highlight w:val="none"/>
        </w:rPr>
        <w:t xml:space="preserve"> </w:t>
      </w:r>
      <w:r>
        <w:rPr>
          <w:rFonts w:hint="eastAsia" w:ascii="宋体" w:hAnsi="宋体" w:cs="宋体"/>
          <w:color w:val="auto"/>
          <w:szCs w:val="21"/>
          <w:highlight w:val="none"/>
        </w:rPr>
        <w:t>对于功率≤1.1kW的变频器采用自然通风冷却。</w:t>
      </w:r>
    </w:p>
    <w:p>
      <w:pPr>
        <w:pStyle w:val="6"/>
        <w:spacing w:line="360" w:lineRule="auto"/>
        <w:ind w:right="-603" w:rightChars="-287" w:firstLine="420" w:firstLineChars="200"/>
        <w:rPr>
          <w:rFonts w:hint="eastAsia" w:ascii="宋体" w:hAnsi="宋体" w:cs="宋体"/>
          <w:color w:val="auto"/>
          <w:szCs w:val="21"/>
          <w:highlight w:val="none"/>
        </w:rPr>
      </w:pPr>
      <w:r>
        <w:rPr>
          <w:rFonts w:hint="eastAsia" w:ascii="宋体" w:hAnsi="宋体" w:cs="宋体"/>
          <w:color w:val="auto"/>
          <w:szCs w:val="21"/>
          <w:highlight w:val="none"/>
        </w:rPr>
        <w:t>对于功率＞1.1kW的变频器采用强制风冷。</w:t>
      </w:r>
    </w:p>
    <w:p>
      <w:pPr>
        <w:pStyle w:val="6"/>
        <w:spacing w:line="360" w:lineRule="auto"/>
        <w:ind w:right="-603" w:rightChars="-287" w:firstLine="420" w:firstLineChars="200"/>
        <w:rPr>
          <w:rFonts w:hint="eastAsia" w:ascii="宋体" w:hAnsi="宋体" w:cs="宋体"/>
          <w:color w:val="auto"/>
          <w:spacing w:val="-1"/>
          <w:szCs w:val="21"/>
          <w:highlight w:val="none"/>
        </w:rPr>
      </w:pPr>
      <w:r>
        <w:rPr>
          <w:rFonts w:hint="eastAsia" w:ascii="宋体" w:hAnsi="宋体" w:cs="宋体"/>
          <w:color w:val="auto"/>
          <w:kern w:val="0"/>
          <w:szCs w:val="21"/>
          <w:highlight w:val="none"/>
        </w:rPr>
        <w:t xml:space="preserve">1.2.2.4 </w:t>
      </w:r>
      <w:r>
        <w:rPr>
          <w:rFonts w:hint="eastAsia" w:ascii="宋体" w:hAnsi="宋体" w:cs="宋体"/>
          <w:color w:val="auto"/>
          <w:spacing w:val="7"/>
          <w:szCs w:val="21"/>
          <w:highlight w:val="none"/>
        </w:rPr>
        <w:t xml:space="preserve"> </w:t>
      </w:r>
      <w:r>
        <w:rPr>
          <w:rFonts w:hint="eastAsia" w:ascii="宋体" w:hAnsi="宋体" w:cs="宋体"/>
          <w:color w:val="auto"/>
          <w:szCs w:val="21"/>
          <w:highlight w:val="none"/>
        </w:rPr>
        <w:t>电气性能：</w:t>
      </w:r>
      <w:r>
        <w:rPr>
          <w:rFonts w:hint="eastAsia" w:ascii="宋体" w:hAnsi="宋体" w:cs="宋体"/>
          <w:color w:val="auto"/>
          <w:spacing w:val="-1"/>
          <w:szCs w:val="21"/>
          <w:highlight w:val="none"/>
        </w:rPr>
        <w:t>变频器应选用ABB、西门子、施耐德或同档次的品牌。变频器所有强电元件进行机械和电气强度的设计，使其能承受20KA的冲击电流。安装在端子箱内的电缆在传送允许值内的电流时，不超过允许的温升。变频器的额定值如下：</w:t>
      </w:r>
    </w:p>
    <w:p>
      <w:pPr>
        <w:pStyle w:val="6"/>
        <w:spacing w:before="50" w:line="360" w:lineRule="auto"/>
        <w:ind w:right="-603" w:rightChars="-287" w:firstLine="416" w:firstLineChars="200"/>
        <w:rPr>
          <w:rFonts w:hint="eastAsia" w:ascii="宋体" w:hAnsi="宋体" w:cs="宋体"/>
          <w:color w:val="auto"/>
          <w:spacing w:val="24"/>
          <w:w w:val="99"/>
          <w:szCs w:val="21"/>
          <w:highlight w:val="none"/>
        </w:rPr>
      </w:pPr>
      <w:r>
        <w:rPr>
          <w:rFonts w:hint="eastAsia" w:ascii="宋体" w:hAnsi="宋体" w:cs="宋体"/>
          <w:color w:val="auto"/>
          <w:spacing w:val="-1"/>
          <w:szCs w:val="21"/>
          <w:highlight w:val="none"/>
        </w:rPr>
        <w:t>电源电压：380V±10%</w:t>
      </w:r>
      <w:r>
        <w:rPr>
          <w:rFonts w:hint="eastAsia" w:ascii="宋体" w:hAnsi="宋体" w:cs="宋体"/>
          <w:color w:val="auto"/>
          <w:spacing w:val="24"/>
          <w:w w:val="99"/>
          <w:szCs w:val="21"/>
          <w:highlight w:val="none"/>
        </w:rPr>
        <w:t xml:space="preserve"> </w:t>
      </w:r>
    </w:p>
    <w:p>
      <w:pPr>
        <w:pStyle w:val="6"/>
        <w:spacing w:before="50" w:line="360" w:lineRule="auto"/>
        <w:ind w:right="-603" w:rightChars="-287" w:firstLine="416" w:firstLineChars="200"/>
        <w:rPr>
          <w:rFonts w:hint="eastAsia" w:ascii="宋体" w:hAnsi="宋体" w:cs="宋体"/>
          <w:color w:val="auto"/>
          <w:spacing w:val="24"/>
          <w:szCs w:val="21"/>
          <w:highlight w:val="none"/>
        </w:rPr>
      </w:pPr>
      <w:r>
        <w:rPr>
          <w:rFonts w:hint="eastAsia" w:ascii="宋体" w:hAnsi="宋体" w:cs="宋体"/>
          <w:color w:val="auto"/>
          <w:spacing w:val="-1"/>
          <w:szCs w:val="21"/>
          <w:highlight w:val="none"/>
        </w:rPr>
        <w:t>电源频率：50HZ±2HZ</w:t>
      </w:r>
      <w:r>
        <w:rPr>
          <w:rFonts w:hint="eastAsia" w:ascii="宋体" w:hAnsi="宋体" w:cs="宋体"/>
          <w:color w:val="auto"/>
          <w:spacing w:val="24"/>
          <w:szCs w:val="21"/>
          <w:highlight w:val="none"/>
        </w:rPr>
        <w:t xml:space="preserve"> </w:t>
      </w:r>
    </w:p>
    <w:p>
      <w:pPr>
        <w:pStyle w:val="6"/>
        <w:spacing w:before="50" w:line="360" w:lineRule="auto"/>
        <w:ind w:right="-603" w:rightChars="-287" w:firstLine="416" w:firstLineChars="200"/>
        <w:rPr>
          <w:rFonts w:hint="eastAsia" w:ascii="宋体" w:hAnsi="宋体" w:cs="宋体"/>
          <w:color w:val="auto"/>
          <w:spacing w:val="29"/>
          <w:w w:val="99"/>
          <w:szCs w:val="21"/>
          <w:highlight w:val="none"/>
        </w:rPr>
      </w:pPr>
      <w:r>
        <w:rPr>
          <w:rFonts w:hint="eastAsia" w:ascii="宋体" w:hAnsi="宋体" w:cs="宋体"/>
          <w:color w:val="auto"/>
          <w:spacing w:val="-1"/>
          <w:szCs w:val="21"/>
          <w:highlight w:val="none"/>
        </w:rPr>
        <w:t>功率因数：COS¢≈1</w:t>
      </w:r>
      <w:r>
        <w:rPr>
          <w:rFonts w:hint="eastAsia" w:ascii="宋体" w:hAnsi="宋体" w:cs="宋体"/>
          <w:color w:val="auto"/>
          <w:spacing w:val="29"/>
          <w:w w:val="99"/>
          <w:szCs w:val="21"/>
          <w:highlight w:val="none"/>
        </w:rPr>
        <w:t xml:space="preserve"> </w:t>
      </w:r>
    </w:p>
    <w:p>
      <w:pPr>
        <w:pStyle w:val="6"/>
        <w:spacing w:before="50" w:line="360" w:lineRule="auto"/>
        <w:ind w:right="-603" w:rightChars="-287" w:firstLine="416" w:firstLineChars="200"/>
        <w:rPr>
          <w:rFonts w:hint="eastAsia" w:ascii="宋体" w:hAnsi="宋体" w:cs="宋体"/>
          <w:color w:val="auto"/>
          <w:spacing w:val="20"/>
          <w:szCs w:val="21"/>
          <w:highlight w:val="none"/>
        </w:rPr>
      </w:pPr>
      <w:r>
        <w:rPr>
          <w:rFonts w:hint="eastAsia" w:ascii="宋体" w:hAnsi="宋体" w:cs="宋体"/>
          <w:color w:val="auto"/>
          <w:spacing w:val="-1"/>
          <w:szCs w:val="21"/>
          <w:highlight w:val="none"/>
        </w:rPr>
        <w:t>输出电压：0～380V</w:t>
      </w:r>
      <w:r>
        <w:rPr>
          <w:rFonts w:hint="eastAsia" w:ascii="宋体" w:hAnsi="宋体" w:cs="宋体"/>
          <w:color w:val="auto"/>
          <w:spacing w:val="20"/>
          <w:szCs w:val="21"/>
          <w:highlight w:val="none"/>
        </w:rPr>
        <w:t xml:space="preserve"> </w:t>
      </w:r>
    </w:p>
    <w:p>
      <w:pPr>
        <w:pStyle w:val="6"/>
        <w:spacing w:before="50" w:line="360" w:lineRule="auto"/>
        <w:ind w:right="-603" w:rightChars="-287" w:firstLine="416" w:firstLineChars="200"/>
        <w:rPr>
          <w:rFonts w:hint="eastAsia" w:ascii="宋体" w:hAnsi="宋体" w:cs="宋体"/>
          <w:color w:val="auto"/>
          <w:spacing w:val="24"/>
          <w:w w:val="99"/>
          <w:szCs w:val="21"/>
          <w:highlight w:val="none"/>
        </w:rPr>
      </w:pPr>
      <w:r>
        <w:rPr>
          <w:rFonts w:hint="eastAsia" w:ascii="宋体" w:hAnsi="宋体" w:cs="宋体"/>
          <w:color w:val="auto"/>
          <w:spacing w:val="-1"/>
          <w:szCs w:val="21"/>
          <w:highlight w:val="none"/>
        </w:rPr>
        <w:t>输出频率：0.1～50HZ</w:t>
      </w:r>
      <w:r>
        <w:rPr>
          <w:rFonts w:hint="eastAsia" w:ascii="宋体" w:hAnsi="宋体" w:cs="宋体"/>
          <w:color w:val="auto"/>
          <w:spacing w:val="24"/>
          <w:w w:val="99"/>
          <w:szCs w:val="21"/>
          <w:highlight w:val="none"/>
        </w:rPr>
        <w:t xml:space="preserve"> </w:t>
      </w:r>
    </w:p>
    <w:p>
      <w:pPr>
        <w:pStyle w:val="6"/>
        <w:spacing w:before="50" w:line="360" w:lineRule="auto"/>
        <w:ind w:right="-603" w:rightChars="-287" w:firstLine="416" w:firstLineChars="200"/>
        <w:rPr>
          <w:rFonts w:hint="eastAsia" w:ascii="宋体" w:hAnsi="宋体" w:cs="宋体"/>
          <w:color w:val="auto"/>
          <w:spacing w:val="-1"/>
          <w:szCs w:val="21"/>
          <w:highlight w:val="none"/>
        </w:rPr>
      </w:pPr>
      <w:r>
        <w:rPr>
          <w:rFonts w:hint="eastAsia" w:ascii="宋体" w:hAnsi="宋体" w:cs="宋体"/>
          <w:color w:val="auto"/>
          <w:spacing w:val="-1"/>
          <w:szCs w:val="21"/>
          <w:highlight w:val="none"/>
        </w:rPr>
        <w:t>频率精度：0.5%(相对于最高输出频率)</w:t>
      </w:r>
    </w:p>
    <w:p>
      <w:pPr>
        <w:pStyle w:val="6"/>
        <w:spacing w:before="50" w:line="360" w:lineRule="auto"/>
        <w:ind w:right="-603" w:rightChars="-287" w:firstLine="416" w:firstLineChars="200"/>
        <w:rPr>
          <w:rFonts w:hint="eastAsia" w:ascii="宋体" w:hAnsi="宋体" w:cs="宋体"/>
          <w:color w:val="auto"/>
          <w:spacing w:val="20"/>
          <w:szCs w:val="21"/>
          <w:highlight w:val="none"/>
        </w:rPr>
      </w:pPr>
      <w:r>
        <w:rPr>
          <w:rFonts w:hint="eastAsia" w:ascii="宋体" w:hAnsi="宋体" w:cs="宋体"/>
          <w:color w:val="auto"/>
          <w:spacing w:val="-1"/>
          <w:szCs w:val="21"/>
          <w:highlight w:val="none"/>
        </w:rPr>
        <w:t>过载能力：150%最小</w:t>
      </w:r>
      <w:r>
        <w:rPr>
          <w:rFonts w:hint="eastAsia" w:ascii="宋体" w:hAnsi="宋体" w:cs="宋体"/>
          <w:color w:val="auto"/>
          <w:szCs w:val="21"/>
          <w:highlight w:val="none"/>
        </w:rPr>
        <w:t>60秒</w:t>
      </w:r>
      <w:r>
        <w:rPr>
          <w:rFonts w:hint="eastAsia" w:ascii="宋体" w:hAnsi="宋体" w:cs="宋体"/>
          <w:color w:val="auto"/>
          <w:spacing w:val="20"/>
          <w:szCs w:val="21"/>
          <w:highlight w:val="none"/>
        </w:rPr>
        <w:t xml:space="preserve"> </w:t>
      </w:r>
    </w:p>
    <w:p>
      <w:pPr>
        <w:pStyle w:val="6"/>
        <w:spacing w:before="50" w:line="360" w:lineRule="auto"/>
        <w:ind w:right="-603" w:rightChars="-287" w:firstLine="420" w:firstLineChars="200"/>
        <w:rPr>
          <w:rFonts w:hint="eastAsia" w:ascii="宋体" w:hAnsi="宋体" w:cs="宋体"/>
          <w:color w:val="auto"/>
          <w:szCs w:val="21"/>
          <w:highlight w:val="none"/>
        </w:rPr>
      </w:pPr>
      <w:r>
        <w:rPr>
          <w:rFonts w:hint="eastAsia" w:ascii="宋体" w:hAnsi="宋体" w:cs="宋体"/>
          <w:color w:val="auto"/>
          <w:szCs w:val="21"/>
          <w:highlight w:val="none"/>
        </w:rPr>
        <w:t>控制方式：正弦波</w:t>
      </w:r>
      <w:r>
        <w:rPr>
          <w:rFonts w:hint="eastAsia" w:ascii="宋体" w:hAnsi="宋体" w:cs="宋体"/>
          <w:color w:val="auto"/>
          <w:spacing w:val="-1"/>
          <w:szCs w:val="21"/>
          <w:highlight w:val="none"/>
        </w:rPr>
        <w:t>PWM</w:t>
      </w:r>
      <w:r>
        <w:rPr>
          <w:rFonts w:hint="eastAsia" w:ascii="宋体" w:hAnsi="宋体" w:cs="宋体"/>
          <w:color w:val="auto"/>
          <w:szCs w:val="21"/>
          <w:highlight w:val="none"/>
        </w:rPr>
        <w:t>控制</w:t>
      </w:r>
    </w:p>
    <w:p>
      <w:pPr>
        <w:pStyle w:val="6"/>
        <w:spacing w:before="15" w:line="360" w:lineRule="auto"/>
        <w:ind w:right="-603" w:rightChars="-287" w:firstLine="420" w:firstLineChars="200"/>
        <w:rPr>
          <w:rFonts w:hint="eastAsia" w:ascii="宋体" w:hAnsi="宋体" w:cs="宋体"/>
          <w:color w:val="auto"/>
          <w:spacing w:val="-1"/>
          <w:szCs w:val="21"/>
          <w:highlight w:val="none"/>
        </w:rPr>
      </w:pPr>
      <w:r>
        <w:rPr>
          <w:rFonts w:hint="eastAsia" w:ascii="宋体" w:hAnsi="宋体" w:cs="宋体"/>
          <w:color w:val="auto"/>
          <w:szCs w:val="21"/>
          <w:highlight w:val="none"/>
        </w:rPr>
        <w:t>变频器的选择符合泵的负载特性的连续工作制</w:t>
      </w:r>
      <w:r>
        <w:rPr>
          <w:rFonts w:hint="eastAsia" w:ascii="宋体" w:hAnsi="宋体" w:cs="宋体"/>
          <w:color w:val="auto"/>
          <w:spacing w:val="-1"/>
          <w:szCs w:val="21"/>
          <w:highlight w:val="none"/>
        </w:rPr>
        <w:t>SI(见IEC-34)。</w:t>
      </w:r>
      <w:r>
        <w:rPr>
          <w:rFonts w:hint="eastAsia" w:ascii="宋体" w:hAnsi="宋体" w:cs="宋体"/>
          <w:color w:val="auto"/>
          <w:szCs w:val="21"/>
          <w:highlight w:val="none"/>
        </w:rPr>
        <w:t>变频器的控制系统具有调节上升时间和下降时间的线性调节功能</w:t>
      </w:r>
      <w:r>
        <w:rPr>
          <w:rFonts w:hint="eastAsia" w:ascii="宋体" w:hAnsi="宋体" w:cs="宋体"/>
          <w:color w:val="auto"/>
          <w:spacing w:val="-72"/>
          <w:szCs w:val="21"/>
          <w:highlight w:val="none"/>
        </w:rPr>
        <w:t>。</w:t>
      </w:r>
      <w:r>
        <w:rPr>
          <w:rFonts w:hint="eastAsia" w:ascii="宋体" w:hAnsi="宋体" w:cs="宋体"/>
          <w:color w:val="auto"/>
          <w:szCs w:val="21"/>
          <w:highlight w:val="none"/>
        </w:rPr>
        <w:t>（转速从</w:t>
      </w:r>
      <w:r>
        <w:rPr>
          <w:rFonts w:hint="eastAsia" w:ascii="宋体" w:hAnsi="宋体" w:cs="宋体"/>
          <w:color w:val="auto"/>
          <w:spacing w:val="-1"/>
          <w:szCs w:val="21"/>
          <w:highlight w:val="none"/>
        </w:rPr>
        <w:t>0</w:t>
      </w:r>
      <w:r>
        <w:rPr>
          <w:rFonts w:hint="eastAsia" w:ascii="宋体" w:hAnsi="宋体" w:cs="宋体"/>
          <w:color w:val="auto"/>
          <w:szCs w:val="21"/>
          <w:highlight w:val="none"/>
        </w:rPr>
        <w:t>～100%</w:t>
      </w:r>
      <w:r>
        <w:rPr>
          <w:rFonts w:hint="eastAsia" w:ascii="宋体" w:hAnsi="宋体" w:cs="宋体"/>
          <w:color w:val="auto"/>
          <w:spacing w:val="-72"/>
          <w:szCs w:val="21"/>
          <w:highlight w:val="none"/>
        </w:rPr>
        <w:t>，</w:t>
      </w:r>
      <w:r>
        <w:rPr>
          <w:rFonts w:hint="eastAsia" w:ascii="宋体" w:hAnsi="宋体" w:cs="宋体"/>
          <w:color w:val="auto"/>
          <w:szCs w:val="21"/>
          <w:highlight w:val="none"/>
        </w:rPr>
        <w:t>0.1～</w:t>
      </w:r>
      <w:r>
        <w:rPr>
          <w:rFonts w:hint="eastAsia" w:ascii="宋体" w:hAnsi="宋体" w:cs="宋体"/>
          <w:color w:val="auto"/>
          <w:spacing w:val="-1"/>
          <w:szCs w:val="21"/>
          <w:highlight w:val="none"/>
        </w:rPr>
        <w:t>3</w:t>
      </w:r>
      <w:r>
        <w:rPr>
          <w:rFonts w:hint="eastAsia" w:ascii="宋体" w:hAnsi="宋体" w:cs="宋体"/>
          <w:color w:val="auto"/>
          <w:szCs w:val="21"/>
          <w:highlight w:val="none"/>
        </w:rPr>
        <w:t>00秒,反之亦然）上升和下降时间应单独可调。由于变频器使用环境的通风散热情况决定</w:t>
      </w:r>
      <w:r>
        <w:rPr>
          <w:rFonts w:hint="eastAsia" w:ascii="宋体" w:hAnsi="宋体" w:cs="宋体"/>
          <w:color w:val="auto"/>
          <w:spacing w:val="-72"/>
          <w:szCs w:val="21"/>
          <w:highlight w:val="none"/>
        </w:rPr>
        <w:t>，</w:t>
      </w:r>
      <w:r>
        <w:rPr>
          <w:rFonts w:hint="eastAsia" w:ascii="宋体" w:hAnsi="宋体" w:cs="宋体"/>
          <w:color w:val="auto"/>
          <w:szCs w:val="21"/>
          <w:highlight w:val="none"/>
        </w:rPr>
        <w:t>变频器应保证能在平均温45℃</w:t>
      </w:r>
      <w:r>
        <w:rPr>
          <w:rFonts w:hint="eastAsia" w:ascii="宋体" w:hAnsi="宋体" w:cs="宋体"/>
          <w:color w:val="auto"/>
          <w:spacing w:val="-72"/>
          <w:szCs w:val="21"/>
          <w:highlight w:val="none"/>
        </w:rPr>
        <w:t>，</w:t>
      </w:r>
      <w:r>
        <w:rPr>
          <w:rFonts w:hint="eastAsia" w:ascii="宋体" w:hAnsi="宋体" w:cs="宋体"/>
          <w:color w:val="auto"/>
          <w:szCs w:val="21"/>
          <w:highlight w:val="none"/>
        </w:rPr>
        <w:t>最高温度不超过50℃</w:t>
      </w:r>
      <w:r>
        <w:rPr>
          <w:rFonts w:hint="eastAsia" w:ascii="宋体" w:hAnsi="宋体" w:cs="宋体"/>
          <w:color w:val="auto"/>
          <w:spacing w:val="-1"/>
          <w:szCs w:val="21"/>
          <w:highlight w:val="none"/>
        </w:rPr>
        <w:t>的环境温度下，仍能保持以变频器的额定容量输出，不出现过热、过流、过载保护。</w:t>
      </w:r>
    </w:p>
    <w:p>
      <w:pPr>
        <w:pStyle w:val="6"/>
        <w:spacing w:before="15" w:line="360" w:lineRule="auto"/>
        <w:ind w:right="-603" w:rightChars="-287" w:firstLine="416" w:firstLineChars="200"/>
        <w:rPr>
          <w:rFonts w:hint="eastAsia" w:ascii="宋体" w:hAnsi="宋体" w:cs="宋体"/>
          <w:color w:val="auto"/>
          <w:spacing w:val="-1"/>
          <w:szCs w:val="21"/>
          <w:highlight w:val="none"/>
        </w:rPr>
      </w:pPr>
      <w:r>
        <w:rPr>
          <w:rFonts w:hint="eastAsia" w:ascii="宋体" w:hAnsi="宋体" w:cs="宋体"/>
          <w:color w:val="auto"/>
          <w:spacing w:val="-1"/>
          <w:szCs w:val="21"/>
          <w:highlight w:val="none"/>
        </w:rPr>
        <w:t>如不能满足，请将变频器的容量适当放大。如使用过程中因环境温度出现三次保护，供应厂家应无偿更换适合</w:t>
      </w:r>
      <w:r>
        <w:rPr>
          <w:rFonts w:hint="eastAsia" w:ascii="宋体" w:hAnsi="宋体" w:cs="宋体"/>
          <w:color w:val="auto"/>
          <w:szCs w:val="21"/>
          <w:highlight w:val="none"/>
        </w:rPr>
        <w:t>环境需要容量的变频器，及相关配置。</w:t>
      </w:r>
      <w:r>
        <w:rPr>
          <w:rFonts w:hint="eastAsia" w:ascii="宋体" w:hAnsi="宋体" w:cs="宋体"/>
          <w:color w:val="auto"/>
          <w:spacing w:val="-1"/>
          <w:szCs w:val="21"/>
          <w:highlight w:val="none"/>
        </w:rPr>
        <w:t>为避免出现危险的电机/泵的共振频率，通过程序控制设定跳跃频率。</w:t>
      </w:r>
      <w:r>
        <w:rPr>
          <w:rFonts w:hint="eastAsia" w:ascii="宋体" w:hAnsi="宋体" w:cs="宋体"/>
          <w:color w:val="auto"/>
          <w:szCs w:val="21"/>
          <w:highlight w:val="none"/>
        </w:rPr>
        <w:t>为方便的电缆连接，设置电动机及变频柜电源动力电缆的接线端子板，电缆接线全部为压接。</w:t>
      </w:r>
    </w:p>
    <w:p>
      <w:pPr>
        <w:pStyle w:val="6"/>
        <w:spacing w:before="40" w:line="360" w:lineRule="auto"/>
        <w:ind w:right="-603" w:rightChars="-287" w:firstLine="420" w:firstLineChars="200"/>
        <w:rPr>
          <w:rFonts w:hint="eastAsia" w:ascii="宋体" w:hAnsi="宋体" w:cs="宋体"/>
          <w:color w:val="auto"/>
          <w:szCs w:val="21"/>
          <w:highlight w:val="none"/>
        </w:rPr>
      </w:pPr>
      <w:r>
        <w:rPr>
          <w:rFonts w:hint="eastAsia" w:ascii="宋体" w:hAnsi="宋体" w:cs="宋体"/>
          <w:color w:val="auto"/>
          <w:szCs w:val="21"/>
          <w:highlight w:val="none"/>
        </w:rPr>
        <w:t>控制电缆端子板设置防松件，并用格栅分开不同电压等级的端子。每个元部件根据机组的图纸分别贴上标记</w:t>
      </w:r>
      <w:r>
        <w:rPr>
          <w:rFonts w:hint="eastAsia" w:ascii="宋体" w:hAnsi="宋体" w:cs="宋体"/>
          <w:color w:val="auto"/>
          <w:spacing w:val="-69"/>
          <w:szCs w:val="21"/>
          <w:highlight w:val="none"/>
        </w:rPr>
        <w:t>、</w:t>
      </w:r>
      <w:r>
        <w:rPr>
          <w:rFonts w:hint="eastAsia" w:ascii="宋体" w:hAnsi="宋体" w:cs="宋体"/>
          <w:color w:val="auto"/>
          <w:szCs w:val="21"/>
          <w:highlight w:val="none"/>
        </w:rPr>
        <w:t>动力电缆端子有相序标记</w:t>
      </w:r>
      <w:r>
        <w:rPr>
          <w:rFonts w:hint="eastAsia" w:ascii="宋体" w:hAnsi="宋体" w:cs="宋体"/>
          <w:color w:val="auto"/>
          <w:spacing w:val="-69"/>
          <w:szCs w:val="21"/>
          <w:highlight w:val="none"/>
        </w:rPr>
        <w:t>、</w:t>
      </w:r>
      <w:r>
        <w:rPr>
          <w:rFonts w:hint="eastAsia" w:ascii="宋体" w:hAnsi="宋体" w:cs="宋体"/>
          <w:color w:val="auto"/>
          <w:szCs w:val="21"/>
          <w:highlight w:val="none"/>
        </w:rPr>
        <w:t>控制电缆端子应有线编号所有装置正确接地、接地端子应有足够的尺寸连接接地系统。变频器的备件和接地保护要求应在厂家提供的技术文件中说明。</w:t>
      </w:r>
      <w:r>
        <w:rPr>
          <w:rFonts w:hint="eastAsia" w:ascii="宋体" w:hAnsi="宋体" w:cs="宋体"/>
          <w:color w:val="auto"/>
          <w:spacing w:val="-1"/>
          <w:szCs w:val="21"/>
          <w:highlight w:val="none"/>
        </w:rPr>
        <w:t>为了所有部件、动力和控制电路、电机等设备在故障情况下的安全、变频器具有一切必要的保护</w:t>
      </w:r>
      <w:r>
        <w:rPr>
          <w:rFonts w:hint="eastAsia" w:ascii="宋体" w:hAnsi="宋体" w:cs="宋体"/>
          <w:color w:val="auto"/>
          <w:szCs w:val="21"/>
          <w:highlight w:val="none"/>
        </w:rPr>
        <w:t>功能。</w:t>
      </w:r>
    </w:p>
    <w:p>
      <w:pPr>
        <w:pStyle w:val="6"/>
        <w:spacing w:before="31" w:line="360" w:lineRule="auto"/>
        <w:ind w:right="-603" w:rightChars="-287" w:firstLine="420" w:firstLineChars="200"/>
        <w:rPr>
          <w:rFonts w:hint="eastAsia" w:ascii="宋体" w:hAnsi="宋体" w:cs="宋体"/>
          <w:color w:val="auto"/>
          <w:szCs w:val="21"/>
          <w:highlight w:val="none"/>
        </w:rPr>
      </w:pPr>
      <w:r>
        <w:rPr>
          <w:rFonts w:hint="eastAsia" w:ascii="宋体" w:hAnsi="宋体" w:cs="宋体"/>
          <w:color w:val="auto"/>
          <w:szCs w:val="21"/>
          <w:highlight w:val="none"/>
        </w:rPr>
        <w:t>★变频器最少包括下列保护功能：</w:t>
      </w:r>
    </w:p>
    <w:p>
      <w:pPr>
        <w:numPr>
          <w:ilvl w:val="0"/>
          <w:numId w:val="41"/>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过载保护</w:t>
      </w:r>
    </w:p>
    <w:p>
      <w:pPr>
        <w:numPr>
          <w:ilvl w:val="0"/>
          <w:numId w:val="41"/>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过电压保护</w:t>
      </w:r>
    </w:p>
    <w:p>
      <w:pPr>
        <w:numPr>
          <w:ilvl w:val="0"/>
          <w:numId w:val="41"/>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瞬间停电保护</w:t>
      </w:r>
    </w:p>
    <w:p>
      <w:pPr>
        <w:numPr>
          <w:ilvl w:val="0"/>
          <w:numId w:val="41"/>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输出短路保护</w:t>
      </w:r>
    </w:p>
    <w:p>
      <w:pPr>
        <w:numPr>
          <w:ilvl w:val="0"/>
          <w:numId w:val="41"/>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欠电压保护</w:t>
      </w:r>
    </w:p>
    <w:p>
      <w:pPr>
        <w:numPr>
          <w:ilvl w:val="0"/>
          <w:numId w:val="41"/>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接地故障保护</w:t>
      </w:r>
    </w:p>
    <w:p>
      <w:pPr>
        <w:numPr>
          <w:ilvl w:val="0"/>
          <w:numId w:val="41"/>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过电流保护</w:t>
      </w:r>
    </w:p>
    <w:p>
      <w:pPr>
        <w:numPr>
          <w:ilvl w:val="0"/>
          <w:numId w:val="41"/>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内部温升过高保护</w:t>
      </w:r>
    </w:p>
    <w:p>
      <w:pPr>
        <w:numPr>
          <w:ilvl w:val="0"/>
          <w:numId w:val="41"/>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欠相保护在故障状态下，保护电路应快速动作，并报警，泵和变频器停止工作。</w:t>
      </w:r>
    </w:p>
    <w:p>
      <w:pPr>
        <w:pStyle w:val="6"/>
        <w:spacing w:before="31" w:line="360" w:lineRule="auto"/>
        <w:ind w:right="-603" w:rightChars="-287"/>
        <w:rPr>
          <w:rFonts w:hint="eastAsia" w:ascii="宋体" w:hAnsi="宋体" w:cs="宋体"/>
          <w:color w:val="auto"/>
          <w:szCs w:val="21"/>
          <w:highlight w:val="none"/>
        </w:rPr>
      </w:pPr>
      <w:r>
        <w:rPr>
          <w:rFonts w:hint="eastAsia" w:ascii="宋体" w:hAnsi="宋体" w:cs="宋体"/>
          <w:color w:val="auto"/>
          <w:szCs w:val="21"/>
          <w:highlight w:val="none"/>
        </w:rPr>
        <w:t>为了外部控制和监控装置</w:t>
      </w:r>
      <w:r>
        <w:rPr>
          <w:rFonts w:hint="eastAsia" w:ascii="宋体" w:hAnsi="宋体" w:cs="宋体"/>
          <w:color w:val="auto"/>
          <w:spacing w:val="-83"/>
          <w:szCs w:val="21"/>
          <w:highlight w:val="none"/>
        </w:rPr>
        <w:t>、</w:t>
      </w:r>
      <w:r>
        <w:rPr>
          <w:rFonts w:hint="eastAsia" w:ascii="宋体" w:hAnsi="宋体" w:cs="宋体"/>
          <w:color w:val="auto"/>
          <w:szCs w:val="21"/>
          <w:highlight w:val="none"/>
        </w:rPr>
        <w:t>变频器具有模拟量及数字</w:t>
      </w:r>
      <w:r>
        <w:rPr>
          <w:rFonts w:hint="eastAsia" w:ascii="宋体" w:hAnsi="宋体" w:cs="宋体"/>
          <w:color w:val="auto"/>
          <w:spacing w:val="-83"/>
          <w:szCs w:val="21"/>
          <w:highlight w:val="none"/>
        </w:rPr>
        <w:t>、</w:t>
      </w:r>
      <w:r>
        <w:rPr>
          <w:rFonts w:hint="eastAsia" w:ascii="宋体" w:hAnsi="宋体" w:cs="宋体"/>
          <w:color w:val="auto"/>
          <w:szCs w:val="21"/>
          <w:highlight w:val="none"/>
        </w:rPr>
        <w:t>输入输</w:t>
      </w:r>
      <w:r>
        <w:rPr>
          <w:rFonts w:hint="eastAsia" w:ascii="宋体" w:hAnsi="宋体" w:cs="宋体"/>
          <w:color w:val="auto"/>
          <w:spacing w:val="-83"/>
          <w:szCs w:val="21"/>
          <w:highlight w:val="none"/>
        </w:rPr>
        <w:t>出</w:t>
      </w:r>
      <w:r>
        <w:rPr>
          <w:rFonts w:hint="eastAsia" w:ascii="宋体" w:hAnsi="宋体" w:cs="宋体"/>
          <w:color w:val="auto"/>
          <w:szCs w:val="21"/>
          <w:highlight w:val="none"/>
        </w:rPr>
        <w:t>（I/O</w:t>
      </w:r>
      <w:r>
        <w:rPr>
          <w:rFonts w:hint="eastAsia" w:ascii="宋体" w:hAnsi="宋体" w:cs="宋体"/>
          <w:color w:val="auto"/>
          <w:spacing w:val="-83"/>
          <w:szCs w:val="21"/>
          <w:highlight w:val="none"/>
        </w:rPr>
        <w:t>）</w:t>
      </w:r>
      <w:r>
        <w:rPr>
          <w:rFonts w:hint="eastAsia" w:ascii="宋体" w:hAnsi="宋体" w:cs="宋体"/>
          <w:color w:val="auto"/>
          <w:szCs w:val="21"/>
          <w:highlight w:val="none"/>
        </w:rPr>
        <w:t>信号</w:t>
      </w:r>
      <w:r>
        <w:rPr>
          <w:rFonts w:hint="eastAsia" w:ascii="宋体" w:hAnsi="宋体" w:cs="宋体"/>
          <w:color w:val="auto"/>
          <w:spacing w:val="-83"/>
          <w:szCs w:val="21"/>
          <w:highlight w:val="none"/>
        </w:rPr>
        <w:t>、</w:t>
      </w:r>
      <w:r>
        <w:rPr>
          <w:rFonts w:hint="eastAsia" w:ascii="宋体" w:hAnsi="宋体" w:cs="宋体"/>
          <w:color w:val="auto"/>
          <w:szCs w:val="21"/>
          <w:highlight w:val="none"/>
        </w:rPr>
        <w:t>所有模拟量信号为4～20mA及</w:t>
      </w:r>
      <w:r>
        <w:rPr>
          <w:rFonts w:hint="eastAsia" w:ascii="宋体" w:hAnsi="宋体" w:cs="宋体"/>
          <w:color w:val="auto"/>
          <w:spacing w:val="-1"/>
          <w:szCs w:val="21"/>
          <w:highlight w:val="none"/>
        </w:rPr>
        <w:t>0～10V、变频器是电磁兼容的并应采取措施减少电磁辐射和增加抗干扰性。</w:t>
      </w:r>
    </w:p>
    <w:p>
      <w:pPr>
        <w:pStyle w:val="6"/>
        <w:spacing w:before="15" w:line="360" w:lineRule="auto"/>
        <w:ind w:right="-603" w:rightChars="-287"/>
        <w:rPr>
          <w:rFonts w:hint="eastAsia" w:ascii="宋体" w:hAnsi="宋体" w:cs="宋体"/>
          <w:color w:val="auto"/>
          <w:szCs w:val="21"/>
          <w:highlight w:val="none"/>
        </w:rPr>
      </w:pPr>
      <w:r>
        <w:rPr>
          <w:rFonts w:hint="eastAsia" w:ascii="宋体" w:hAnsi="宋体" w:cs="宋体"/>
          <w:color w:val="auto"/>
          <w:szCs w:val="21"/>
          <w:highlight w:val="none"/>
        </w:rPr>
        <w:t>★变频器要求内置的RF</w:t>
      </w:r>
      <w:r>
        <w:rPr>
          <w:rFonts w:hint="eastAsia" w:ascii="宋体" w:hAnsi="宋体" w:cs="宋体"/>
          <w:color w:val="auto"/>
          <w:spacing w:val="-1"/>
          <w:szCs w:val="21"/>
          <w:highlight w:val="none"/>
        </w:rPr>
        <w:t>I</w:t>
      </w:r>
      <w:r>
        <w:rPr>
          <w:rFonts w:hint="eastAsia" w:ascii="宋体" w:hAnsi="宋体" w:cs="宋体"/>
          <w:color w:val="auto"/>
          <w:szCs w:val="21"/>
          <w:highlight w:val="none"/>
        </w:rPr>
        <w:t>（抗无线电干扰</w:t>
      </w:r>
      <w:r>
        <w:rPr>
          <w:rFonts w:hint="eastAsia" w:ascii="宋体" w:hAnsi="宋体" w:cs="宋体"/>
          <w:color w:val="auto"/>
          <w:spacing w:val="-41"/>
          <w:szCs w:val="21"/>
          <w:highlight w:val="none"/>
        </w:rPr>
        <w:t>）</w:t>
      </w:r>
      <w:r>
        <w:rPr>
          <w:rFonts w:hint="eastAsia" w:ascii="宋体" w:hAnsi="宋体" w:cs="宋体"/>
          <w:color w:val="auto"/>
          <w:szCs w:val="21"/>
          <w:highlight w:val="none"/>
        </w:rPr>
        <w:t>滤波器</w:t>
      </w:r>
      <w:r>
        <w:rPr>
          <w:rFonts w:hint="eastAsia" w:ascii="宋体" w:hAnsi="宋体" w:cs="宋体"/>
          <w:color w:val="auto"/>
          <w:spacing w:val="-41"/>
          <w:szCs w:val="21"/>
          <w:highlight w:val="none"/>
        </w:rPr>
        <w:t>，</w:t>
      </w:r>
      <w:r>
        <w:rPr>
          <w:rFonts w:hint="eastAsia" w:ascii="宋体" w:hAnsi="宋体" w:cs="宋体"/>
          <w:color w:val="auto"/>
          <w:szCs w:val="21"/>
          <w:highlight w:val="none"/>
        </w:rPr>
        <w:t>使其无线电发射</w:t>
      </w:r>
      <w:r>
        <w:rPr>
          <w:rFonts w:hint="eastAsia" w:ascii="宋体" w:hAnsi="宋体" w:cs="宋体"/>
          <w:color w:val="auto"/>
          <w:spacing w:val="-41"/>
          <w:szCs w:val="21"/>
          <w:highlight w:val="none"/>
        </w:rPr>
        <w:t>、</w:t>
      </w:r>
      <w:r>
        <w:rPr>
          <w:rFonts w:hint="eastAsia" w:ascii="宋体" w:hAnsi="宋体" w:cs="宋体"/>
          <w:color w:val="auto"/>
          <w:szCs w:val="21"/>
          <w:highlight w:val="none"/>
        </w:rPr>
        <w:t>传导性发射以满足</w:t>
      </w:r>
      <w:r>
        <w:rPr>
          <w:rFonts w:hint="eastAsia" w:ascii="宋体" w:hAnsi="宋体" w:cs="宋体"/>
          <w:color w:val="auto"/>
          <w:spacing w:val="-1"/>
          <w:szCs w:val="21"/>
          <w:highlight w:val="none"/>
        </w:rPr>
        <w:t>EN</w:t>
      </w:r>
      <w:r>
        <w:rPr>
          <w:rFonts w:hint="eastAsia" w:ascii="宋体" w:hAnsi="宋体" w:cs="宋体"/>
          <w:color w:val="auto"/>
          <w:szCs w:val="21"/>
          <w:highlight w:val="none"/>
        </w:rPr>
        <w:t>55011标准B</w:t>
      </w:r>
      <w:r>
        <w:rPr>
          <w:rFonts w:hint="eastAsia" w:ascii="宋体" w:hAnsi="宋体" w:cs="宋体"/>
          <w:color w:val="auto"/>
          <w:spacing w:val="3"/>
          <w:szCs w:val="21"/>
          <w:highlight w:val="none"/>
        </w:rPr>
        <w:t xml:space="preserve"> </w:t>
      </w:r>
      <w:r>
        <w:rPr>
          <w:rFonts w:hint="eastAsia" w:ascii="宋体" w:hAnsi="宋体" w:cs="宋体"/>
          <w:color w:val="auto"/>
          <w:spacing w:val="-1"/>
          <w:szCs w:val="21"/>
          <w:highlight w:val="none"/>
        </w:rPr>
        <w:t>级、EN61000-3-</w:t>
      </w:r>
      <w:r>
        <w:rPr>
          <w:rFonts w:hint="eastAsia" w:ascii="宋体" w:hAnsi="宋体" w:cs="宋体"/>
          <w:bCs/>
          <w:color w:val="auto"/>
          <w:szCs w:val="21"/>
          <w:highlight w:val="none"/>
        </w:rPr>
        <w:t>2之标准要求，以防止空间电磁场对热计量等仪表及自控系统的干扰和周围社区计算机、监控设备的干扰。</w:t>
      </w:r>
    </w:p>
    <w:p>
      <w:pPr>
        <w:pStyle w:val="6"/>
        <w:spacing w:before="137" w:line="360" w:lineRule="auto"/>
        <w:ind w:right="-603" w:rightChars="-287" w:firstLine="420" w:firstLineChars="200"/>
        <w:rPr>
          <w:rFonts w:hint="eastAsia" w:ascii="宋体" w:hAnsi="宋体" w:cs="宋体"/>
          <w:color w:val="auto"/>
          <w:szCs w:val="21"/>
          <w:highlight w:val="none"/>
        </w:rPr>
      </w:pPr>
      <w:r>
        <w:rPr>
          <w:rFonts w:hint="eastAsia" w:ascii="宋体" w:hAnsi="宋体" w:cs="宋体"/>
          <w:color w:val="auto"/>
          <w:kern w:val="0"/>
          <w:szCs w:val="21"/>
          <w:highlight w:val="none"/>
        </w:rPr>
        <w:t>1.2.2.5</w:t>
      </w:r>
      <w:r>
        <w:rPr>
          <w:rFonts w:hint="eastAsia" w:ascii="宋体" w:hAnsi="宋体" w:cs="宋体"/>
          <w:color w:val="auto"/>
          <w:szCs w:val="21"/>
          <w:highlight w:val="none"/>
        </w:rPr>
        <w:t xml:space="preserve"> </w:t>
      </w:r>
      <w:r>
        <w:rPr>
          <w:rFonts w:hint="eastAsia" w:ascii="宋体" w:hAnsi="宋体" w:cs="宋体"/>
          <w:color w:val="auto"/>
          <w:spacing w:val="7"/>
          <w:szCs w:val="21"/>
          <w:highlight w:val="none"/>
        </w:rPr>
        <w:t xml:space="preserve"> </w:t>
      </w:r>
      <w:r>
        <w:rPr>
          <w:rFonts w:hint="eastAsia" w:ascii="宋体" w:hAnsi="宋体" w:cs="宋体"/>
          <w:color w:val="auto"/>
          <w:szCs w:val="21"/>
          <w:highlight w:val="none"/>
        </w:rPr>
        <w:t>运行性能：控制和检测系统采用微处理器。变频器通过箱体前面的操作板进行控制和检测。变频器为遥控装置配备控制端子板，以便外部控制电缆接线用。为方便控制和监测变频器，操作板包括必要的装置（开关、指标灯、按钮、显示器等）如：</w:t>
      </w:r>
    </w:p>
    <w:p>
      <w:pPr>
        <w:numPr>
          <w:ilvl w:val="0"/>
          <w:numId w:val="4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变频器的起动、停止</w:t>
      </w:r>
    </w:p>
    <w:p>
      <w:pPr>
        <w:numPr>
          <w:ilvl w:val="0"/>
          <w:numId w:val="4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变频器参数的按键控制</w:t>
      </w:r>
    </w:p>
    <w:p>
      <w:pPr>
        <w:numPr>
          <w:ilvl w:val="0"/>
          <w:numId w:val="4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输入、输出量的控制</w:t>
      </w:r>
    </w:p>
    <w:p>
      <w:pPr>
        <w:numPr>
          <w:ilvl w:val="0"/>
          <w:numId w:val="4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调整设定开关</w:t>
      </w:r>
    </w:p>
    <w:p>
      <w:pPr>
        <w:numPr>
          <w:ilvl w:val="0"/>
          <w:numId w:val="4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显示设定点和参数</w:t>
      </w:r>
    </w:p>
    <w:p>
      <w:pPr>
        <w:numPr>
          <w:ilvl w:val="0"/>
          <w:numId w:val="4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显示故障并报警为了说明操作装置及指标灯等设备的功能及操作方法，在变频器前面板上设文字说明。</w:t>
      </w:r>
    </w:p>
    <w:p>
      <w:pPr>
        <w:numPr>
          <w:ilvl w:val="0"/>
          <w:numId w:val="42"/>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★变频器需配置操作控制面板，为方便调试要求具有中文操作界面，由于变频器数量较多，要求面板具有参数</w:t>
      </w:r>
      <w:r>
        <w:rPr>
          <w:rFonts w:hint="eastAsia" w:ascii="宋体" w:hAnsi="宋体" w:cs="宋体"/>
          <w:color w:val="auto"/>
          <w:szCs w:val="21"/>
          <w:highlight w:val="none"/>
        </w:rPr>
        <w:t>下载</w:t>
      </w:r>
      <w:r>
        <w:rPr>
          <w:rFonts w:hint="eastAsia" w:ascii="宋体" w:hAnsi="宋体" w:cs="宋体"/>
          <w:bCs/>
          <w:color w:val="auto"/>
          <w:szCs w:val="21"/>
          <w:highlight w:val="none"/>
        </w:rPr>
        <w:t>和复制的功能以方便调试。</w:t>
      </w:r>
    </w:p>
    <w:p>
      <w:pPr>
        <w:pStyle w:val="6"/>
        <w:spacing w:before="137" w:line="360" w:lineRule="auto"/>
        <w:ind w:right="-603" w:rightChars="-287" w:firstLine="420" w:firstLineChars="200"/>
        <w:rPr>
          <w:rFonts w:hint="eastAsia" w:cs="宋体"/>
          <w:color w:val="auto"/>
          <w:szCs w:val="21"/>
          <w:highlight w:val="none"/>
        </w:rPr>
      </w:pPr>
      <w:r>
        <w:rPr>
          <w:rFonts w:hint="eastAsia" w:ascii="宋体" w:hAnsi="宋体" w:cs="宋体"/>
          <w:color w:val="auto"/>
          <w:kern w:val="0"/>
          <w:szCs w:val="21"/>
          <w:highlight w:val="none"/>
        </w:rPr>
        <w:t>1.2.2.6</w:t>
      </w:r>
      <w:r>
        <w:rPr>
          <w:rFonts w:hint="eastAsia" w:cs="宋体"/>
          <w:color w:val="auto"/>
          <w:szCs w:val="21"/>
          <w:highlight w:val="none"/>
        </w:rPr>
        <w:t xml:space="preserve"> 标记： </w:t>
      </w:r>
    </w:p>
    <w:p>
      <w:pPr>
        <w:numPr>
          <w:ilvl w:val="0"/>
          <w:numId w:val="4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变频器有一个醒目的铭牌。</w:t>
      </w:r>
    </w:p>
    <w:p>
      <w:pPr>
        <w:numPr>
          <w:ilvl w:val="0"/>
          <w:numId w:val="4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制造商的名称的地址</w:t>
      </w:r>
    </w:p>
    <w:p>
      <w:pPr>
        <w:numPr>
          <w:ilvl w:val="0"/>
          <w:numId w:val="4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频器的型式</w:t>
      </w:r>
    </w:p>
    <w:p>
      <w:pPr>
        <w:numPr>
          <w:ilvl w:val="0"/>
          <w:numId w:val="4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产品序号</w:t>
      </w:r>
    </w:p>
    <w:p>
      <w:pPr>
        <w:numPr>
          <w:ilvl w:val="0"/>
          <w:numId w:val="4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主要技术数据为了便于设备的维护、更换的保养，尽量使用插接件和电气线</w:t>
      </w:r>
    </w:p>
    <w:p>
      <w:pPr>
        <w:numPr>
          <w:ilvl w:val="0"/>
          <w:numId w:val="43"/>
        </w:numPr>
        <w:tabs>
          <w:tab w:val="left" w:pos="420"/>
        </w:tabs>
        <w:spacing w:line="360" w:lineRule="auto"/>
        <w:ind w:left="851" w:hanging="431"/>
        <w:rPr>
          <w:rFonts w:hint="eastAsia" w:ascii="宋体" w:hAnsi="宋体" w:cs="宋体"/>
          <w:bCs/>
          <w:color w:val="auto"/>
          <w:szCs w:val="21"/>
          <w:highlight w:val="none"/>
        </w:rPr>
      </w:pPr>
      <w:r>
        <w:rPr>
          <w:rFonts w:hint="eastAsia" w:ascii="宋体" w:hAnsi="宋体" w:cs="宋体"/>
          <w:bCs/>
          <w:color w:val="auto"/>
          <w:szCs w:val="21"/>
          <w:highlight w:val="none"/>
        </w:rPr>
        <w:t>生产日期</w:t>
      </w:r>
    </w:p>
    <w:p>
      <w:pPr>
        <w:pStyle w:val="6"/>
        <w:spacing w:before="38" w:line="360" w:lineRule="auto"/>
        <w:ind w:right="921"/>
        <w:rPr>
          <w:color w:val="auto"/>
          <w:highlight w:val="none"/>
        </w:rPr>
      </w:pPr>
      <w:r>
        <w:rPr>
          <w:rFonts w:hint="eastAsia" w:ascii="宋体" w:hAnsi="宋体" w:cs="宋体"/>
          <w:color w:val="auto"/>
          <w:kern w:val="0"/>
          <w:szCs w:val="21"/>
          <w:highlight w:val="none"/>
        </w:rPr>
        <w:t>1.2.3</w:t>
      </w:r>
      <w:r>
        <w:rPr>
          <w:rFonts w:hint="eastAsia" w:cs="宋体"/>
          <w:color w:val="auto"/>
          <w:szCs w:val="21"/>
          <w:highlight w:val="none"/>
        </w:rPr>
        <w:t>电设备变频柜配电设备应满足换热机组运行需要，并预留照明、检修电源接口。</w:t>
      </w:r>
    </w:p>
    <w:tbl>
      <w:tblPr>
        <w:tblStyle w:val="15"/>
        <w:tblW w:w="8840" w:type="dxa"/>
        <w:tblInd w:w="96" w:type="dxa"/>
        <w:tblLayout w:type="autofit"/>
        <w:tblCellMar>
          <w:top w:w="0" w:type="dxa"/>
          <w:left w:w="108" w:type="dxa"/>
          <w:bottom w:w="0" w:type="dxa"/>
          <w:right w:w="108" w:type="dxa"/>
        </w:tblCellMar>
      </w:tblPr>
      <w:tblGrid>
        <w:gridCol w:w="1355"/>
        <w:gridCol w:w="960"/>
        <w:gridCol w:w="1096"/>
        <w:gridCol w:w="5429"/>
      </w:tblGrid>
      <w:tr>
        <w:tblPrEx>
          <w:tblCellMar>
            <w:top w:w="0" w:type="dxa"/>
            <w:left w:w="108" w:type="dxa"/>
            <w:bottom w:w="0" w:type="dxa"/>
            <w:right w:w="108" w:type="dxa"/>
          </w:tblCellMar>
        </w:tblPrEx>
        <w:trPr>
          <w:trHeight w:val="288" w:hRule="atLeast"/>
        </w:trPr>
        <w:tc>
          <w:tcPr>
            <w:tcW w:w="1355"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供电系统</w:t>
            </w: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1</w:t>
            </w:r>
          </w:p>
        </w:tc>
        <w:tc>
          <w:tcPr>
            <w:tcW w:w="6525"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工作电压：380V</w:t>
            </w:r>
          </w:p>
        </w:tc>
      </w:tr>
      <w:tr>
        <w:tblPrEx>
          <w:tblCellMar>
            <w:top w:w="0" w:type="dxa"/>
            <w:left w:w="108" w:type="dxa"/>
            <w:bottom w:w="0" w:type="dxa"/>
            <w:right w:w="108" w:type="dxa"/>
          </w:tblCellMar>
        </w:tblPrEx>
        <w:trPr>
          <w:trHeight w:val="288" w:hRule="atLeast"/>
        </w:trPr>
        <w:tc>
          <w:tcPr>
            <w:tcW w:w="1355"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2</w:t>
            </w:r>
          </w:p>
        </w:tc>
        <w:tc>
          <w:tcPr>
            <w:tcW w:w="6525"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工作频率：50Hz±0.5%</w:t>
            </w:r>
          </w:p>
        </w:tc>
      </w:tr>
      <w:tr>
        <w:tblPrEx>
          <w:tblCellMar>
            <w:top w:w="0" w:type="dxa"/>
            <w:left w:w="108" w:type="dxa"/>
            <w:bottom w:w="0" w:type="dxa"/>
            <w:right w:w="108" w:type="dxa"/>
          </w:tblCellMar>
        </w:tblPrEx>
        <w:trPr>
          <w:trHeight w:val="288" w:hRule="atLeast"/>
        </w:trPr>
        <w:tc>
          <w:tcPr>
            <w:tcW w:w="1355" w:type="dxa"/>
            <w:vMerge w:val="restart"/>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center"/>
              <w:textAlignment w:val="center"/>
              <w:rPr>
                <w:rFonts w:hint="eastAsia" w:ascii="宋体" w:hAnsi="宋体" w:cs="宋体"/>
                <w:color w:val="auto"/>
                <w:kern w:val="0"/>
                <w:sz w:val="22"/>
                <w:szCs w:val="22"/>
                <w:highlight w:val="none"/>
                <w:lang w:bidi="ar"/>
              </w:rPr>
            </w:pPr>
            <w:r>
              <w:rPr>
                <w:rFonts w:hint="eastAsia" w:ascii="宋体" w:hAnsi="宋体" w:cs="宋体"/>
                <w:color w:val="auto"/>
                <w:kern w:val="0"/>
                <w:sz w:val="22"/>
                <w:szCs w:val="22"/>
                <w:highlight w:val="none"/>
                <w:lang w:bidi="ar"/>
              </w:rPr>
              <w:t>变频柜参</w:t>
            </w:r>
          </w:p>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数规定</w:t>
            </w: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1</w:t>
            </w:r>
          </w:p>
        </w:tc>
        <w:tc>
          <w:tcPr>
            <w:tcW w:w="6525"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设备外形尺寸:(宽*深*高)</w:t>
            </w:r>
          </w:p>
        </w:tc>
      </w:tr>
      <w:tr>
        <w:tblPrEx>
          <w:tblCellMar>
            <w:top w:w="0" w:type="dxa"/>
            <w:left w:w="108" w:type="dxa"/>
            <w:bottom w:w="0" w:type="dxa"/>
            <w:right w:w="108" w:type="dxa"/>
          </w:tblCellMar>
        </w:tblPrEx>
        <w:trPr>
          <w:trHeight w:val="600"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2</w:t>
            </w:r>
          </w:p>
        </w:tc>
        <w:tc>
          <w:tcPr>
            <w:tcW w:w="6525"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设备安装型式：自立式固定安装，用螺栓的方式将变频柜固定在地脚槽钢上。</w:t>
            </w:r>
          </w:p>
        </w:tc>
      </w:tr>
      <w:tr>
        <w:tblPrEx>
          <w:tblCellMar>
            <w:top w:w="0" w:type="dxa"/>
            <w:left w:w="108" w:type="dxa"/>
            <w:bottom w:w="0" w:type="dxa"/>
            <w:right w:w="108" w:type="dxa"/>
          </w:tblCellMar>
        </w:tblPrEx>
        <w:trPr>
          <w:trHeight w:val="288"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3</w:t>
            </w:r>
          </w:p>
        </w:tc>
        <w:tc>
          <w:tcPr>
            <w:tcW w:w="6525"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额定绝缘电压：AC10000V</w:t>
            </w:r>
          </w:p>
        </w:tc>
      </w:tr>
      <w:tr>
        <w:tblPrEx>
          <w:tblCellMar>
            <w:top w:w="0" w:type="dxa"/>
            <w:left w:w="108" w:type="dxa"/>
            <w:bottom w:w="0" w:type="dxa"/>
            <w:right w:w="108" w:type="dxa"/>
          </w:tblCellMar>
        </w:tblPrEx>
        <w:trPr>
          <w:trHeight w:val="288"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4</w:t>
            </w:r>
          </w:p>
        </w:tc>
        <w:tc>
          <w:tcPr>
            <w:tcW w:w="6525"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绝缘试验电压（有效值）≥1200V</w:t>
            </w:r>
          </w:p>
        </w:tc>
      </w:tr>
      <w:tr>
        <w:tblPrEx>
          <w:tblCellMar>
            <w:top w:w="0" w:type="dxa"/>
            <w:left w:w="108" w:type="dxa"/>
            <w:bottom w:w="0" w:type="dxa"/>
            <w:right w:w="108" w:type="dxa"/>
          </w:tblCellMar>
        </w:tblPrEx>
        <w:trPr>
          <w:trHeight w:val="288"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5</w:t>
            </w:r>
          </w:p>
        </w:tc>
        <w:tc>
          <w:tcPr>
            <w:tcW w:w="6525"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额定工作电压：AC400V</w:t>
            </w:r>
          </w:p>
        </w:tc>
      </w:tr>
      <w:tr>
        <w:tblPrEx>
          <w:tblCellMar>
            <w:top w:w="0" w:type="dxa"/>
            <w:left w:w="108" w:type="dxa"/>
            <w:bottom w:w="0" w:type="dxa"/>
            <w:right w:w="108" w:type="dxa"/>
          </w:tblCellMar>
        </w:tblPrEx>
        <w:trPr>
          <w:trHeight w:val="288"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6</w:t>
            </w:r>
          </w:p>
        </w:tc>
        <w:tc>
          <w:tcPr>
            <w:tcW w:w="6525"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防护等级：IP30以上</w:t>
            </w:r>
          </w:p>
        </w:tc>
      </w:tr>
      <w:tr>
        <w:tblPrEx>
          <w:tblCellMar>
            <w:top w:w="0" w:type="dxa"/>
            <w:left w:w="108" w:type="dxa"/>
            <w:bottom w:w="0" w:type="dxa"/>
            <w:right w:w="108" w:type="dxa"/>
          </w:tblCellMar>
        </w:tblPrEx>
        <w:trPr>
          <w:trHeight w:val="2660"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7</w:t>
            </w:r>
          </w:p>
        </w:tc>
        <w:tc>
          <w:tcPr>
            <w:tcW w:w="6525"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kern w:val="0"/>
                <w:sz w:val="22"/>
                <w:szCs w:val="22"/>
                <w:highlight w:val="none"/>
                <w:lang w:bidi="ar"/>
              </w:rPr>
            </w:pPr>
            <w:r>
              <w:rPr>
                <w:rFonts w:hint="eastAsia" w:ascii="宋体" w:hAnsi="宋体" w:cs="宋体"/>
                <w:color w:val="auto"/>
                <w:kern w:val="0"/>
                <w:sz w:val="22"/>
                <w:szCs w:val="22"/>
                <w:highlight w:val="none"/>
                <w:lang w:bidi="ar"/>
              </w:rPr>
              <w:t>塑壳断路器：西门子（</w:t>
            </w:r>
            <w:r>
              <w:rPr>
                <w:rFonts w:ascii="宋体" w:hAnsi="宋体" w:cs="宋体"/>
                <w:color w:val="auto"/>
                <w:kern w:val="0"/>
                <w:sz w:val="22"/>
                <w:szCs w:val="22"/>
                <w:highlight w:val="none"/>
                <w:lang w:bidi="ar"/>
              </w:rPr>
              <w:t>3</w:t>
            </w:r>
            <w:r>
              <w:rPr>
                <w:rFonts w:hint="eastAsia" w:ascii="宋体" w:hAnsi="宋体" w:cs="宋体"/>
                <w:color w:val="auto"/>
                <w:kern w:val="0"/>
                <w:sz w:val="22"/>
                <w:szCs w:val="22"/>
                <w:highlight w:val="none"/>
                <w:lang w:bidi="ar"/>
              </w:rPr>
              <w:t>V系列），ABB（</w:t>
            </w:r>
            <w:r>
              <w:rPr>
                <w:rFonts w:ascii="宋体" w:hAnsi="宋体" w:cs="宋体"/>
                <w:color w:val="auto"/>
                <w:szCs w:val="21"/>
                <w:highlight w:val="none"/>
              </w:rPr>
              <w:t>Formula</w:t>
            </w:r>
            <w:r>
              <w:rPr>
                <w:rFonts w:hint="eastAsia" w:ascii="宋体" w:hAnsi="宋体" w:cs="宋体"/>
                <w:color w:val="auto"/>
                <w:kern w:val="0"/>
                <w:sz w:val="22"/>
                <w:szCs w:val="22"/>
                <w:highlight w:val="none"/>
                <w:lang w:bidi="ar"/>
              </w:rPr>
              <w:t>系列），施耐德（NSX-N系列）；分段能力25KA以上；</w:t>
            </w:r>
          </w:p>
          <w:p>
            <w:pPr>
              <w:widowControl/>
              <w:spacing w:line="360" w:lineRule="auto"/>
              <w:jc w:val="left"/>
              <w:textAlignment w:val="center"/>
              <w:rPr>
                <w:rFonts w:hint="eastAsia" w:ascii="宋体" w:hAnsi="宋体" w:cs="宋体"/>
                <w:color w:val="auto"/>
                <w:kern w:val="0"/>
                <w:sz w:val="22"/>
                <w:szCs w:val="22"/>
                <w:highlight w:val="none"/>
                <w:lang w:bidi="ar"/>
              </w:rPr>
            </w:pPr>
            <w:r>
              <w:rPr>
                <w:rFonts w:hint="eastAsia" w:ascii="宋体" w:hAnsi="宋体" w:cs="宋体"/>
                <w:color w:val="auto"/>
                <w:kern w:val="0"/>
                <w:sz w:val="22"/>
                <w:szCs w:val="22"/>
                <w:highlight w:val="none"/>
                <w:lang w:bidi="ar"/>
              </w:rPr>
              <w:t>微型断路器：西门子（</w:t>
            </w:r>
            <w:r>
              <w:rPr>
                <w:rFonts w:ascii="宋体" w:hAnsi="宋体" w:cs="宋体"/>
                <w:color w:val="auto"/>
                <w:kern w:val="0"/>
                <w:sz w:val="22"/>
                <w:szCs w:val="22"/>
                <w:highlight w:val="none"/>
                <w:lang w:bidi="ar"/>
              </w:rPr>
              <w:t>5</w:t>
            </w:r>
            <w:r>
              <w:rPr>
                <w:rFonts w:hint="eastAsia" w:ascii="宋体" w:hAnsi="宋体" w:cs="宋体"/>
                <w:color w:val="auto"/>
                <w:kern w:val="0"/>
                <w:sz w:val="22"/>
                <w:szCs w:val="22"/>
                <w:highlight w:val="none"/>
                <w:lang w:bidi="ar"/>
              </w:rPr>
              <w:t>SJ系列），ABB（S2</w:t>
            </w:r>
            <w:r>
              <w:rPr>
                <w:rFonts w:ascii="宋体" w:hAnsi="宋体" w:cs="宋体"/>
                <w:color w:val="auto"/>
                <w:kern w:val="0"/>
                <w:sz w:val="22"/>
                <w:szCs w:val="22"/>
                <w:highlight w:val="none"/>
                <w:lang w:bidi="ar"/>
              </w:rPr>
              <w:t>0</w:t>
            </w:r>
            <w:r>
              <w:rPr>
                <w:rFonts w:hint="eastAsia" w:ascii="宋体" w:hAnsi="宋体" w:cs="宋体"/>
                <w:color w:val="auto"/>
                <w:kern w:val="0"/>
                <w:sz w:val="22"/>
                <w:szCs w:val="22"/>
                <w:highlight w:val="none"/>
                <w:lang w:bidi="ar"/>
              </w:rPr>
              <w:t>0系列），施耐德（C65N系列）；</w:t>
            </w:r>
          </w:p>
          <w:p>
            <w:pPr>
              <w:widowControl/>
              <w:spacing w:line="360" w:lineRule="auto"/>
              <w:jc w:val="left"/>
              <w:textAlignment w:val="center"/>
              <w:rPr>
                <w:rFonts w:hint="eastAsia" w:ascii="宋体" w:hAnsi="宋体" w:cs="宋体"/>
                <w:color w:val="auto"/>
                <w:kern w:val="0"/>
                <w:sz w:val="22"/>
                <w:szCs w:val="22"/>
                <w:highlight w:val="none"/>
                <w:lang w:bidi="ar"/>
              </w:rPr>
            </w:pPr>
            <w:r>
              <w:rPr>
                <w:rFonts w:hint="eastAsia" w:ascii="宋体" w:hAnsi="宋体" w:cs="宋体"/>
                <w:color w:val="auto"/>
                <w:kern w:val="0"/>
                <w:sz w:val="22"/>
                <w:szCs w:val="22"/>
                <w:highlight w:val="none"/>
                <w:lang w:bidi="ar"/>
              </w:rPr>
              <w:t>交流接触器：西门子（</w:t>
            </w:r>
            <w:r>
              <w:rPr>
                <w:rFonts w:ascii="宋体" w:hAnsi="宋体" w:cs="宋体"/>
                <w:color w:val="auto"/>
                <w:kern w:val="0"/>
                <w:sz w:val="22"/>
                <w:szCs w:val="22"/>
                <w:highlight w:val="none"/>
                <w:lang w:bidi="ar"/>
              </w:rPr>
              <w:t>3</w:t>
            </w:r>
            <w:r>
              <w:rPr>
                <w:rFonts w:hint="eastAsia" w:ascii="宋体" w:hAnsi="宋体" w:cs="宋体"/>
                <w:color w:val="auto"/>
                <w:kern w:val="0"/>
                <w:sz w:val="22"/>
                <w:szCs w:val="22"/>
                <w:highlight w:val="none"/>
                <w:lang w:bidi="ar"/>
              </w:rPr>
              <w:t>R系列），ABB（A系列），施耐德（LC1-C系列）；</w:t>
            </w:r>
          </w:p>
          <w:p>
            <w:pPr>
              <w:widowControl/>
              <w:spacing w:line="360" w:lineRule="auto"/>
              <w:jc w:val="left"/>
              <w:textAlignment w:val="center"/>
              <w:rPr>
                <w:rFonts w:hint="eastAsia" w:ascii="宋体" w:hAnsi="宋体" w:cs="宋体"/>
                <w:color w:val="auto"/>
                <w:kern w:val="0"/>
                <w:sz w:val="22"/>
                <w:szCs w:val="22"/>
                <w:highlight w:val="none"/>
                <w:lang w:bidi="ar"/>
              </w:rPr>
            </w:pPr>
            <w:r>
              <w:rPr>
                <w:rFonts w:hint="eastAsia" w:ascii="宋体" w:hAnsi="宋体" w:cs="宋体"/>
                <w:color w:val="auto"/>
                <w:kern w:val="0"/>
                <w:sz w:val="22"/>
                <w:szCs w:val="22"/>
                <w:highlight w:val="none"/>
                <w:lang w:bidi="ar"/>
              </w:rPr>
              <w:t>电动机保护器：西门子（</w:t>
            </w:r>
            <w:r>
              <w:rPr>
                <w:rFonts w:ascii="宋体" w:hAnsi="宋体" w:cs="宋体"/>
                <w:color w:val="auto"/>
                <w:kern w:val="0"/>
                <w:sz w:val="22"/>
                <w:szCs w:val="22"/>
                <w:highlight w:val="none"/>
                <w:lang w:bidi="ar"/>
              </w:rPr>
              <w:t>3</w:t>
            </w:r>
            <w:r>
              <w:rPr>
                <w:rFonts w:hint="eastAsia" w:ascii="宋体" w:hAnsi="宋体" w:cs="宋体"/>
                <w:color w:val="auto"/>
                <w:kern w:val="0"/>
                <w:sz w:val="22"/>
                <w:szCs w:val="22"/>
                <w:highlight w:val="none"/>
                <w:lang w:bidi="ar"/>
              </w:rPr>
              <w:t>UF系列），ABB（TA系列），施耐德（LRD-C系列）；</w:t>
            </w:r>
          </w:p>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其他元件参照图纸选择。</w:t>
            </w:r>
          </w:p>
        </w:tc>
      </w:tr>
      <w:tr>
        <w:tblPrEx>
          <w:tblCellMar>
            <w:top w:w="0" w:type="dxa"/>
            <w:left w:w="108" w:type="dxa"/>
            <w:bottom w:w="0" w:type="dxa"/>
            <w:right w:w="108" w:type="dxa"/>
          </w:tblCellMar>
        </w:tblPrEx>
        <w:trPr>
          <w:trHeight w:val="576"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8</w:t>
            </w:r>
          </w:p>
        </w:tc>
        <w:tc>
          <w:tcPr>
            <w:tcW w:w="1096"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温升</w:t>
            </w:r>
          </w:p>
        </w:tc>
        <w:tc>
          <w:tcPr>
            <w:tcW w:w="5429"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温升:符合IEC947-1有关温升的规定，且温升值不超过组件相应的标准要求。</w:t>
            </w:r>
          </w:p>
        </w:tc>
      </w:tr>
      <w:tr>
        <w:tblPrEx>
          <w:tblCellMar>
            <w:top w:w="0" w:type="dxa"/>
            <w:left w:w="108" w:type="dxa"/>
            <w:bottom w:w="0" w:type="dxa"/>
            <w:right w:w="108" w:type="dxa"/>
          </w:tblCellMar>
        </w:tblPrEx>
        <w:trPr>
          <w:trHeight w:val="288"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1096"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5429"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连接外部绝缘导线的端子:不大于70K</w:t>
            </w:r>
          </w:p>
        </w:tc>
      </w:tr>
      <w:tr>
        <w:tblPrEx>
          <w:tblCellMar>
            <w:top w:w="0" w:type="dxa"/>
            <w:left w:w="108" w:type="dxa"/>
            <w:bottom w:w="0" w:type="dxa"/>
            <w:right w:w="108" w:type="dxa"/>
          </w:tblCellMar>
        </w:tblPrEx>
        <w:trPr>
          <w:trHeight w:val="288"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1096"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5429"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导线固定连接处(铜-铜):不大于50K</w:t>
            </w:r>
          </w:p>
        </w:tc>
      </w:tr>
      <w:tr>
        <w:tblPrEx>
          <w:tblCellMar>
            <w:top w:w="0" w:type="dxa"/>
            <w:left w:w="108" w:type="dxa"/>
            <w:bottom w:w="0" w:type="dxa"/>
            <w:right w:w="108" w:type="dxa"/>
          </w:tblCellMar>
        </w:tblPrEx>
        <w:trPr>
          <w:trHeight w:val="576"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1096"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5429"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可接触的外壳和覆板，金属表面不大于30K，绝缘表面不大于40K。</w:t>
            </w:r>
          </w:p>
        </w:tc>
      </w:tr>
      <w:tr>
        <w:tblPrEx>
          <w:tblCellMar>
            <w:top w:w="0" w:type="dxa"/>
            <w:left w:w="108" w:type="dxa"/>
            <w:bottom w:w="0" w:type="dxa"/>
            <w:right w:w="108" w:type="dxa"/>
          </w:tblCellMar>
        </w:tblPrEx>
        <w:trPr>
          <w:trHeight w:val="864"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9</w:t>
            </w:r>
          </w:p>
        </w:tc>
        <w:tc>
          <w:tcPr>
            <w:tcW w:w="1096" w:type="dxa"/>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柜体标识</w:t>
            </w:r>
          </w:p>
        </w:tc>
        <w:tc>
          <w:tcPr>
            <w:tcW w:w="5429"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每台柜体及其装置（包括：继电器、控制开关、熔断器及其他设备）都应有明显标签框，以便清楚识别,每台柜的顶部按排列图要求配有柜的标号和用途的醒目标色。</w:t>
            </w:r>
          </w:p>
        </w:tc>
      </w:tr>
      <w:tr>
        <w:tblPrEx>
          <w:tblCellMar>
            <w:top w:w="0" w:type="dxa"/>
            <w:left w:w="108" w:type="dxa"/>
            <w:bottom w:w="0" w:type="dxa"/>
            <w:right w:w="108" w:type="dxa"/>
          </w:tblCellMar>
        </w:tblPrEx>
        <w:trPr>
          <w:trHeight w:val="1152"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1096"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5429"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所有（每台）变频柜都有永久性使用的中文铭牌,且每个回路上都有功能标示牌；变频柜、二次回路及端子的编号与所提供的文件一致。柜子的指示灯和按钮有功能标识和编号，接地端子也标示明确。</w:t>
            </w:r>
          </w:p>
        </w:tc>
      </w:tr>
      <w:tr>
        <w:tblPrEx>
          <w:tblCellMar>
            <w:top w:w="0" w:type="dxa"/>
            <w:left w:w="108" w:type="dxa"/>
            <w:bottom w:w="0" w:type="dxa"/>
            <w:right w:w="108" w:type="dxa"/>
          </w:tblCellMar>
        </w:tblPrEx>
        <w:trPr>
          <w:trHeight w:val="576"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1096"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5429"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所有具有极性配合关系的元件在其标示牌和接线图上，相应端子处都有极性标记。</w:t>
            </w:r>
          </w:p>
        </w:tc>
      </w:tr>
      <w:tr>
        <w:tblPrEx>
          <w:tblCellMar>
            <w:top w:w="0" w:type="dxa"/>
            <w:left w:w="108" w:type="dxa"/>
            <w:bottom w:w="0" w:type="dxa"/>
            <w:right w:w="108" w:type="dxa"/>
          </w:tblCellMar>
        </w:tblPrEx>
        <w:trPr>
          <w:trHeight w:val="576"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1096"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5429"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所有操作开关、按钮、手柄等都有明确的、永久的标志，并明确标明其操作方向。</w:t>
            </w:r>
          </w:p>
        </w:tc>
      </w:tr>
      <w:tr>
        <w:tblPrEx>
          <w:tblCellMar>
            <w:top w:w="0" w:type="dxa"/>
            <w:left w:w="108" w:type="dxa"/>
            <w:bottom w:w="0" w:type="dxa"/>
            <w:right w:w="108" w:type="dxa"/>
          </w:tblCellMar>
        </w:tblPrEx>
        <w:trPr>
          <w:trHeight w:val="1200"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1096"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5429"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变频柜每个出线回路单元要有用途标志牌，面板如有开关、按钮要有功能指示牌。所有信号灯、按钮用颜色区别，而且有功能标识和编号，所有仪表都有文字表明其用途。</w:t>
            </w:r>
          </w:p>
        </w:tc>
      </w:tr>
      <w:tr>
        <w:tblPrEx>
          <w:tblCellMar>
            <w:top w:w="0" w:type="dxa"/>
            <w:left w:w="108" w:type="dxa"/>
            <w:bottom w:w="0" w:type="dxa"/>
            <w:right w:w="108" w:type="dxa"/>
          </w:tblCellMar>
        </w:tblPrEx>
        <w:trPr>
          <w:trHeight w:val="1500"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1096" w:type="dxa"/>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5429" w:type="dxa"/>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所有仪表板（仓）开关、按钮等应有功能指示牌。所有电气元器件、附件均应有明显的牢固的和图纸相对应的代号标识，标识应符合图纸中的代号并为印刷体标识表面有防止脏损的防护层，标识应牢固粘贴在元件的显著位置（发热元件除外）。</w:t>
            </w:r>
          </w:p>
        </w:tc>
      </w:tr>
      <w:tr>
        <w:tblPrEx>
          <w:tblCellMar>
            <w:top w:w="0" w:type="dxa"/>
            <w:left w:w="108" w:type="dxa"/>
            <w:bottom w:w="0" w:type="dxa"/>
            <w:right w:w="108" w:type="dxa"/>
          </w:tblCellMar>
        </w:tblPrEx>
        <w:trPr>
          <w:trHeight w:val="640"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10</w:t>
            </w:r>
          </w:p>
        </w:tc>
        <w:tc>
          <w:tcPr>
            <w:tcW w:w="6525"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设备的布置应方便操作，在任何情况下不应妨碍良好的运行性能，柜内空间应满足检修要求。</w:t>
            </w:r>
          </w:p>
        </w:tc>
      </w:tr>
      <w:tr>
        <w:tblPrEx>
          <w:tblCellMar>
            <w:top w:w="0" w:type="dxa"/>
            <w:left w:w="108" w:type="dxa"/>
            <w:bottom w:w="0" w:type="dxa"/>
            <w:right w:w="108" w:type="dxa"/>
          </w:tblCellMar>
        </w:tblPrEx>
        <w:trPr>
          <w:trHeight w:val="480"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11</w:t>
            </w:r>
          </w:p>
        </w:tc>
        <w:tc>
          <w:tcPr>
            <w:tcW w:w="6525"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变频柜引线均采用下进下出的配线连接方式。</w:t>
            </w:r>
          </w:p>
        </w:tc>
      </w:tr>
      <w:tr>
        <w:tblPrEx>
          <w:tblCellMar>
            <w:top w:w="0" w:type="dxa"/>
            <w:left w:w="108" w:type="dxa"/>
            <w:bottom w:w="0" w:type="dxa"/>
            <w:right w:w="108" w:type="dxa"/>
          </w:tblCellMar>
        </w:tblPrEx>
        <w:trPr>
          <w:trHeight w:val="894"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12</w:t>
            </w:r>
          </w:p>
        </w:tc>
        <w:tc>
          <w:tcPr>
            <w:tcW w:w="6525"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在满足防护等级下百叶窗或其他通风孔的布置（严禁左右侧安装通风口）和安装，应能防止由上面滴水或地板上溅起的水进入开关柜内。</w:t>
            </w:r>
          </w:p>
        </w:tc>
      </w:tr>
      <w:tr>
        <w:tblPrEx>
          <w:tblCellMar>
            <w:top w:w="0" w:type="dxa"/>
            <w:left w:w="108" w:type="dxa"/>
            <w:bottom w:w="0" w:type="dxa"/>
            <w:right w:w="108" w:type="dxa"/>
          </w:tblCellMar>
        </w:tblPrEx>
        <w:trPr>
          <w:trHeight w:val="518"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13</w:t>
            </w:r>
          </w:p>
        </w:tc>
        <w:tc>
          <w:tcPr>
            <w:tcW w:w="6525"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装于柜体上的继电器，应能防止断路器或其他电器设备正常操作振动而误动作。</w:t>
            </w:r>
          </w:p>
        </w:tc>
      </w:tr>
      <w:tr>
        <w:tblPrEx>
          <w:tblCellMar>
            <w:top w:w="0" w:type="dxa"/>
            <w:left w:w="108" w:type="dxa"/>
            <w:bottom w:w="0" w:type="dxa"/>
            <w:right w:w="108" w:type="dxa"/>
          </w:tblCellMar>
        </w:tblPrEx>
        <w:trPr>
          <w:trHeight w:val="628"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14</w:t>
            </w:r>
          </w:p>
        </w:tc>
        <w:tc>
          <w:tcPr>
            <w:tcW w:w="6525"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柜体中门、框架及安装板等与接地间应具有良好的导电连续性，以保证操作安全。</w:t>
            </w:r>
          </w:p>
        </w:tc>
      </w:tr>
      <w:tr>
        <w:tblPrEx>
          <w:tblCellMar>
            <w:top w:w="0" w:type="dxa"/>
            <w:left w:w="108" w:type="dxa"/>
            <w:bottom w:w="0" w:type="dxa"/>
            <w:right w:w="108" w:type="dxa"/>
          </w:tblCellMar>
        </w:tblPrEx>
        <w:trPr>
          <w:trHeight w:val="1338"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15</w:t>
            </w:r>
          </w:p>
        </w:tc>
        <w:tc>
          <w:tcPr>
            <w:tcW w:w="6525" w:type="dxa"/>
            <w:gridSpan w:val="2"/>
            <w:tcBorders>
              <w:top w:val="single" w:color="000000" w:sz="4" w:space="0"/>
              <w:left w:val="single" w:color="000000" w:sz="4" w:space="0"/>
              <w:bottom w:val="single" w:color="000000" w:sz="4" w:space="0"/>
              <w:right w:val="single" w:color="000000" w:sz="4" w:space="0"/>
            </w:tcBorders>
          </w:tcPr>
          <w:p>
            <w:pPr>
              <w:widowControl/>
              <w:spacing w:line="360" w:lineRule="auto"/>
              <w:jc w:val="left"/>
              <w:textAlignment w:val="top"/>
              <w:rPr>
                <w:rFonts w:hint="eastAsia" w:ascii="宋体" w:hAnsi="宋体" w:cs="宋体"/>
                <w:color w:val="auto"/>
                <w:kern w:val="0"/>
                <w:sz w:val="22"/>
                <w:szCs w:val="22"/>
                <w:highlight w:val="none"/>
                <w:lang w:bidi="ar"/>
              </w:rPr>
            </w:pPr>
            <w:r>
              <w:rPr>
                <w:rFonts w:hint="eastAsia" w:ascii="宋体" w:hAnsi="宋体" w:cs="宋体"/>
                <w:color w:val="auto"/>
                <w:kern w:val="0"/>
                <w:sz w:val="22"/>
                <w:szCs w:val="22"/>
                <w:highlight w:val="none"/>
                <w:lang w:bidi="ar"/>
              </w:rPr>
              <w:t>母线的连接螺钉应选用8.8级标准螺栓，并相应配置蝶形压力垫圈。螺钉压紧力为：</w:t>
            </w:r>
          </w:p>
          <w:p>
            <w:pPr>
              <w:widowControl/>
              <w:spacing w:line="360" w:lineRule="auto"/>
              <w:jc w:val="center"/>
              <w:textAlignment w:val="top"/>
              <w:rPr>
                <w:rFonts w:hint="eastAsia" w:ascii="宋体" w:hAnsi="宋体" w:cs="宋体"/>
                <w:color w:val="auto"/>
                <w:sz w:val="22"/>
                <w:szCs w:val="22"/>
                <w:highlight w:val="none"/>
              </w:rPr>
            </w:pPr>
            <w:r>
              <w:rPr>
                <w:color w:val="auto"/>
                <w:highlight w:val="none"/>
              </w:rPr>
              <w:drawing>
                <wp:inline distT="0" distB="0" distL="0" distR="0">
                  <wp:extent cx="3324225" cy="4381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3324225" cy="438150"/>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1059" w:hRule="atLeast"/>
        </w:trPr>
        <w:tc>
          <w:tcPr>
            <w:tcW w:w="1355" w:type="dxa"/>
            <w:vMerge w:val="continue"/>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16</w:t>
            </w:r>
          </w:p>
        </w:tc>
        <w:tc>
          <w:tcPr>
            <w:tcW w:w="6525"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铜接地母线截面应按有关国标选择每个螺栓接头和塔接头应不少于两个螺栓，每个分支接头按需要应有一个或一个以上的螺栓。铜接地母线应延伸至整段结构，并应用螺栓接在每一面开关柜的框架上。</w:t>
            </w:r>
          </w:p>
        </w:tc>
      </w:tr>
      <w:tr>
        <w:tblPrEx>
          <w:tblCellMar>
            <w:top w:w="0" w:type="dxa"/>
            <w:left w:w="108" w:type="dxa"/>
            <w:bottom w:w="0" w:type="dxa"/>
            <w:right w:w="108" w:type="dxa"/>
          </w:tblCellMar>
        </w:tblPrEx>
        <w:trPr>
          <w:trHeight w:val="710" w:hRule="atLeast"/>
        </w:trPr>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接地母线</w:t>
            </w: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1</w:t>
            </w:r>
          </w:p>
        </w:tc>
        <w:tc>
          <w:tcPr>
            <w:tcW w:w="6525"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变频柜内设有独立的PE接地保护系统，并且贯穿整个装置。在每台柜内明显处设置保护接地端子并有清楚而永久性识别。</w:t>
            </w:r>
          </w:p>
        </w:tc>
      </w:tr>
      <w:tr>
        <w:tblPrEx>
          <w:tblCellMar>
            <w:top w:w="0" w:type="dxa"/>
            <w:left w:w="108" w:type="dxa"/>
            <w:bottom w:w="0" w:type="dxa"/>
            <w:right w:w="108" w:type="dxa"/>
          </w:tblCellMar>
        </w:tblPrEx>
        <w:trPr>
          <w:trHeight w:val="596" w:hRule="atLeast"/>
        </w:trPr>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2</w:t>
            </w:r>
          </w:p>
        </w:tc>
        <w:tc>
          <w:tcPr>
            <w:tcW w:w="6525"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每台柜体应装有足够截面的铜接地导线，连接到主框架的前面，侧面和后面，应按有关规定可靠连接到柜内接地母线上。</w:t>
            </w:r>
          </w:p>
        </w:tc>
      </w:tr>
      <w:tr>
        <w:tblPrEx>
          <w:tblCellMar>
            <w:top w:w="0" w:type="dxa"/>
            <w:left w:w="108" w:type="dxa"/>
            <w:bottom w:w="0" w:type="dxa"/>
            <w:right w:w="108" w:type="dxa"/>
          </w:tblCellMar>
        </w:tblPrEx>
        <w:trPr>
          <w:trHeight w:val="350" w:hRule="atLeast"/>
        </w:trPr>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3</w:t>
            </w:r>
          </w:p>
        </w:tc>
        <w:tc>
          <w:tcPr>
            <w:tcW w:w="6525"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保护接地端子采取抗腐蚀的适当措施。</w:t>
            </w:r>
          </w:p>
        </w:tc>
      </w:tr>
      <w:tr>
        <w:tblPrEx>
          <w:tblCellMar>
            <w:top w:w="0" w:type="dxa"/>
            <w:left w:w="108" w:type="dxa"/>
            <w:bottom w:w="0" w:type="dxa"/>
            <w:right w:w="108" w:type="dxa"/>
          </w:tblCellMar>
        </w:tblPrEx>
        <w:trPr>
          <w:trHeight w:val="380" w:hRule="atLeast"/>
        </w:trPr>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4</w:t>
            </w:r>
          </w:p>
        </w:tc>
        <w:tc>
          <w:tcPr>
            <w:tcW w:w="6525"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保护接地端子的标志能清楚而永久性地识别。</w:t>
            </w:r>
          </w:p>
        </w:tc>
      </w:tr>
      <w:tr>
        <w:tblPrEx>
          <w:tblCellMar>
            <w:top w:w="0" w:type="dxa"/>
            <w:left w:w="108" w:type="dxa"/>
            <w:bottom w:w="0" w:type="dxa"/>
            <w:right w:w="108" w:type="dxa"/>
          </w:tblCellMar>
        </w:tblPrEx>
        <w:trPr>
          <w:trHeight w:val="860" w:hRule="atLeast"/>
        </w:trPr>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5</w:t>
            </w:r>
          </w:p>
        </w:tc>
        <w:tc>
          <w:tcPr>
            <w:tcW w:w="6525"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变频柜内所有二次导线采用绝缘电压不小于500V阻燃环保型（低烟无卤）耐热铜质多股软导线，所有导线应牢固地夹紧，设备端子均有标字牌。</w:t>
            </w:r>
          </w:p>
        </w:tc>
      </w:tr>
      <w:tr>
        <w:tblPrEx>
          <w:tblCellMar>
            <w:top w:w="0" w:type="dxa"/>
            <w:left w:w="108" w:type="dxa"/>
            <w:bottom w:w="0" w:type="dxa"/>
            <w:right w:w="108" w:type="dxa"/>
          </w:tblCellMar>
        </w:tblPrEx>
        <w:trPr>
          <w:trHeight w:val="288" w:hRule="atLeast"/>
        </w:trPr>
        <w:tc>
          <w:tcPr>
            <w:tcW w:w="0" w:type="auto"/>
            <w:vMerge w:val="restart"/>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二次接线</w:t>
            </w: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1</w:t>
            </w:r>
          </w:p>
        </w:tc>
        <w:tc>
          <w:tcPr>
            <w:tcW w:w="6525"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二次线走线不宜准用粘贴块固定。</w:t>
            </w:r>
          </w:p>
        </w:tc>
      </w:tr>
      <w:tr>
        <w:tblPrEx>
          <w:tblCellMar>
            <w:top w:w="0" w:type="dxa"/>
            <w:left w:w="108" w:type="dxa"/>
            <w:bottom w:w="0" w:type="dxa"/>
            <w:right w:w="108" w:type="dxa"/>
          </w:tblCellMar>
        </w:tblPrEx>
        <w:trPr>
          <w:trHeight w:val="1040" w:hRule="atLeast"/>
        </w:trPr>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left"/>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2</w:t>
            </w:r>
          </w:p>
        </w:tc>
        <w:tc>
          <w:tcPr>
            <w:tcW w:w="6525"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kern w:val="0"/>
                <w:sz w:val="22"/>
                <w:szCs w:val="22"/>
                <w:highlight w:val="none"/>
                <w:lang w:bidi="ar"/>
              </w:rPr>
            </w:pPr>
            <w:r>
              <w:rPr>
                <w:rFonts w:hint="eastAsia" w:ascii="宋体" w:hAnsi="宋体" w:cs="宋体"/>
                <w:color w:val="auto"/>
                <w:kern w:val="0"/>
                <w:sz w:val="22"/>
                <w:szCs w:val="22"/>
                <w:highlight w:val="none"/>
                <w:lang w:bidi="ar"/>
              </w:rPr>
              <w:t>二次接线用的有效空间允许连接规定材料的外接导线和芯线分开的多</w:t>
            </w:r>
          </w:p>
          <w:p>
            <w:pPr>
              <w:widowControl/>
              <w:spacing w:line="360" w:lineRule="auto"/>
              <w:jc w:val="left"/>
              <w:textAlignment w:val="center"/>
              <w:rPr>
                <w:rFonts w:hint="eastAsia" w:ascii="宋体" w:hAnsi="宋体" w:cs="宋体"/>
                <w:color w:val="auto"/>
                <w:kern w:val="0"/>
                <w:sz w:val="22"/>
                <w:szCs w:val="22"/>
                <w:highlight w:val="none"/>
                <w:lang w:bidi="ar"/>
              </w:rPr>
            </w:pPr>
            <w:r>
              <w:rPr>
                <w:rFonts w:hint="eastAsia" w:ascii="宋体" w:hAnsi="宋体" w:cs="宋体"/>
                <w:color w:val="auto"/>
                <w:kern w:val="0"/>
                <w:sz w:val="22"/>
                <w:szCs w:val="22"/>
                <w:highlight w:val="none"/>
                <w:lang w:bidi="ar"/>
              </w:rPr>
              <w:t>芯电缆。电缆引入部件的开口，在电缆正式安装后能达到规定的防护</w:t>
            </w:r>
          </w:p>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等级和防止触电的保护措施。</w:t>
            </w:r>
          </w:p>
        </w:tc>
      </w:tr>
      <w:tr>
        <w:tblPrEx>
          <w:tblCellMar>
            <w:top w:w="0" w:type="dxa"/>
            <w:left w:w="108" w:type="dxa"/>
            <w:bottom w:w="0" w:type="dxa"/>
            <w:right w:w="108" w:type="dxa"/>
          </w:tblCellMar>
        </w:tblPrEx>
        <w:trPr>
          <w:trHeight w:val="1618" w:hRule="atLeast"/>
        </w:trPr>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left"/>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3</w:t>
            </w:r>
          </w:p>
        </w:tc>
        <w:tc>
          <w:tcPr>
            <w:tcW w:w="6525"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Style w:val="32"/>
                <w:rFonts w:hint="default"/>
                <w:color w:val="auto"/>
                <w:highlight w:val="none"/>
                <w:lang w:bidi="ar"/>
              </w:rPr>
              <w:t>柜内各个系统的回路应有相对独立的端子排，端子排安装应牢固无松动。端子排额定电压750V，额定电流10A。端子排按单元分段，应留有不少于15%的备用端子，所有端子的绝缘材料必须是不吸潮和阻燃的。端子应能方便地连接2.5mm</w:t>
            </w:r>
            <w:r>
              <w:rPr>
                <w:rStyle w:val="33"/>
                <w:rFonts w:hint="default"/>
                <w:color w:val="auto"/>
                <w:highlight w:val="none"/>
                <w:lang w:bidi="ar"/>
              </w:rPr>
              <w:t>2</w:t>
            </w:r>
            <w:r>
              <w:rPr>
                <w:rStyle w:val="32"/>
                <w:rFonts w:hint="default"/>
                <w:color w:val="auto"/>
                <w:highlight w:val="none"/>
                <w:lang w:bidi="ar"/>
              </w:rPr>
              <w:t>以下截面的导线。相邻的端子之间的绝缘隔板应具有足够的绝缘强度。</w:t>
            </w:r>
          </w:p>
        </w:tc>
      </w:tr>
      <w:tr>
        <w:tblPrEx>
          <w:tblCellMar>
            <w:top w:w="0" w:type="dxa"/>
            <w:left w:w="108" w:type="dxa"/>
            <w:bottom w:w="0" w:type="dxa"/>
            <w:right w:w="108" w:type="dxa"/>
          </w:tblCellMar>
        </w:tblPrEx>
        <w:trPr>
          <w:trHeight w:val="846" w:hRule="atLeast"/>
        </w:trPr>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left"/>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4</w:t>
            </w:r>
          </w:p>
        </w:tc>
        <w:tc>
          <w:tcPr>
            <w:tcW w:w="6525"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kern w:val="0"/>
                <w:sz w:val="22"/>
                <w:szCs w:val="22"/>
                <w:highlight w:val="none"/>
                <w:lang w:bidi="ar"/>
              </w:rPr>
            </w:pPr>
            <w:r>
              <w:rPr>
                <w:rFonts w:hint="eastAsia" w:ascii="宋体" w:hAnsi="宋体" w:cs="宋体"/>
                <w:color w:val="auto"/>
                <w:kern w:val="0"/>
                <w:sz w:val="22"/>
                <w:szCs w:val="22"/>
                <w:highlight w:val="none"/>
                <w:lang w:bidi="ar"/>
              </w:rPr>
              <w:t>供电流互感器用的端子排应设计成短接型，电流不小于20A（500V）。</w:t>
            </w:r>
          </w:p>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每个端子只接一根导线。</w:t>
            </w:r>
          </w:p>
        </w:tc>
      </w:tr>
      <w:tr>
        <w:tblPrEx>
          <w:tblCellMar>
            <w:top w:w="0" w:type="dxa"/>
            <w:left w:w="108" w:type="dxa"/>
            <w:bottom w:w="0" w:type="dxa"/>
            <w:right w:w="108" w:type="dxa"/>
          </w:tblCellMar>
        </w:tblPrEx>
        <w:trPr>
          <w:trHeight w:val="380" w:hRule="atLeast"/>
        </w:trPr>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left"/>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5</w:t>
            </w:r>
          </w:p>
        </w:tc>
        <w:tc>
          <w:tcPr>
            <w:tcW w:w="6525" w:type="dxa"/>
            <w:gridSpan w:val="2"/>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每个单元的控制元件均应接到该单元内的端子排上。</w:t>
            </w:r>
          </w:p>
        </w:tc>
      </w:tr>
      <w:tr>
        <w:tblPrEx>
          <w:tblCellMar>
            <w:top w:w="0" w:type="dxa"/>
            <w:left w:w="108" w:type="dxa"/>
            <w:bottom w:w="0" w:type="dxa"/>
            <w:right w:w="108" w:type="dxa"/>
          </w:tblCellMar>
        </w:tblPrEx>
        <w:trPr>
          <w:trHeight w:val="522" w:hRule="atLeast"/>
        </w:trPr>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left"/>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6</w:t>
            </w:r>
          </w:p>
        </w:tc>
        <w:tc>
          <w:tcPr>
            <w:tcW w:w="6525"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二次配件（包括按钮、指示灯等）：均采用螺钉紧固方式，避免接线插件脱落。</w:t>
            </w:r>
          </w:p>
        </w:tc>
      </w:tr>
      <w:tr>
        <w:tblPrEx>
          <w:tblCellMar>
            <w:top w:w="0" w:type="dxa"/>
            <w:left w:w="108" w:type="dxa"/>
            <w:bottom w:w="0" w:type="dxa"/>
            <w:right w:w="108" w:type="dxa"/>
          </w:tblCellMar>
        </w:tblPrEx>
        <w:trPr>
          <w:trHeight w:val="692" w:hRule="atLeast"/>
        </w:trPr>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left"/>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7</w:t>
            </w:r>
          </w:p>
        </w:tc>
        <w:tc>
          <w:tcPr>
            <w:tcW w:w="6525"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开关柜内装设必要的控制、测量、保护等二次设备，二次设备应满足买方提供的选型和接线要求，并由开关柜制造厂成套供货。</w:t>
            </w:r>
          </w:p>
        </w:tc>
      </w:tr>
      <w:tr>
        <w:tblPrEx>
          <w:tblCellMar>
            <w:top w:w="0" w:type="dxa"/>
            <w:left w:w="108" w:type="dxa"/>
            <w:bottom w:w="0" w:type="dxa"/>
            <w:right w:w="108" w:type="dxa"/>
          </w:tblCellMar>
        </w:tblPrEx>
        <w:trPr>
          <w:trHeight w:val="1640" w:hRule="atLeast"/>
        </w:trPr>
        <w:tc>
          <w:tcPr>
            <w:tcW w:w="0" w:type="auto"/>
            <w:vMerge w:val="continue"/>
            <w:tcBorders>
              <w:top w:val="single" w:color="000000" w:sz="4" w:space="0"/>
              <w:left w:val="single" w:color="000000" w:sz="4" w:space="0"/>
              <w:bottom w:val="single" w:color="000000" w:sz="4" w:space="0"/>
              <w:right w:val="single" w:color="000000" w:sz="4" w:space="0"/>
            </w:tcBorders>
            <w:noWrap/>
            <w:vAlign w:val="center"/>
          </w:tcPr>
          <w:p>
            <w:pPr>
              <w:spacing w:line="360" w:lineRule="auto"/>
              <w:jc w:val="left"/>
              <w:rPr>
                <w:rFonts w:hint="eastAsia" w:ascii="宋体" w:hAnsi="宋体" w:cs="宋体"/>
                <w:color w:val="auto"/>
                <w:sz w:val="22"/>
                <w:szCs w:val="22"/>
                <w:highlight w:val="none"/>
              </w:rPr>
            </w:pPr>
          </w:p>
        </w:tc>
        <w:tc>
          <w:tcPr>
            <w:tcW w:w="960" w:type="dxa"/>
            <w:tcBorders>
              <w:top w:val="single" w:color="000000" w:sz="4" w:space="0"/>
              <w:left w:val="single" w:color="000000" w:sz="4" w:space="0"/>
              <w:bottom w:val="single" w:color="000000" w:sz="4" w:space="0"/>
              <w:right w:val="single" w:color="000000" w:sz="4" w:space="0"/>
            </w:tcBorders>
            <w:noWrap/>
            <w:vAlign w:val="center"/>
          </w:tcPr>
          <w:p>
            <w:pPr>
              <w:widowControl/>
              <w:spacing w:line="360" w:lineRule="auto"/>
              <w:jc w:val="center"/>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8</w:t>
            </w:r>
          </w:p>
        </w:tc>
        <w:tc>
          <w:tcPr>
            <w:tcW w:w="6525" w:type="dxa"/>
            <w:gridSpan w:val="2"/>
            <w:tcBorders>
              <w:top w:val="single" w:color="000000" w:sz="4" w:space="0"/>
              <w:left w:val="single" w:color="000000" w:sz="4" w:space="0"/>
              <w:bottom w:val="single" w:color="000000" w:sz="4" w:space="0"/>
              <w:right w:val="single" w:color="000000" w:sz="4" w:space="0"/>
            </w:tcBorders>
            <w:vAlign w:val="center"/>
          </w:tcPr>
          <w:p>
            <w:pPr>
              <w:widowControl/>
              <w:spacing w:line="360" w:lineRule="auto"/>
              <w:jc w:val="left"/>
              <w:textAlignment w:val="center"/>
              <w:rPr>
                <w:rFonts w:hint="eastAsia" w:ascii="宋体" w:hAnsi="宋体" w:cs="宋体"/>
                <w:color w:val="auto"/>
                <w:sz w:val="22"/>
                <w:szCs w:val="22"/>
                <w:highlight w:val="none"/>
              </w:rPr>
            </w:pPr>
            <w:r>
              <w:rPr>
                <w:rFonts w:hint="eastAsia" w:ascii="宋体" w:hAnsi="宋体" w:cs="宋体"/>
                <w:color w:val="auto"/>
                <w:kern w:val="0"/>
                <w:sz w:val="22"/>
                <w:szCs w:val="22"/>
                <w:highlight w:val="none"/>
                <w:lang w:bidi="ar"/>
              </w:rPr>
              <w:t>所有二次控制线均应有线号标记，线号用白色线号管烫印黑色号码，并有效固定在导线端头上。所有门板元件应所供设备名称及其操作功能标识，标识为印刷体，标明支路号及相应的控制对象，并能够牢固固定在门板元件下方。门板元件按工艺流程排列。</w:t>
            </w:r>
          </w:p>
        </w:tc>
      </w:tr>
    </w:tbl>
    <w:p>
      <w:pPr>
        <w:pStyle w:val="2"/>
        <w:spacing w:before="13" w:line="360" w:lineRule="auto"/>
        <w:ind w:right="-603" w:rightChars="-287"/>
        <w:rPr>
          <w:rFonts w:hint="eastAsia" w:ascii="宋体" w:hAnsi="宋体" w:eastAsia="宋体" w:cs="宋体"/>
          <w:b/>
          <w:bCs/>
          <w:color w:val="auto"/>
          <w:sz w:val="21"/>
          <w:szCs w:val="21"/>
          <w:highlight w:val="none"/>
        </w:rPr>
      </w:pPr>
      <w:bookmarkStart w:id="174" w:name="_Toc20226"/>
      <w:r>
        <w:rPr>
          <w:rFonts w:hint="eastAsia" w:ascii="宋体" w:hAnsi="宋体" w:eastAsia="宋体" w:cs="宋体"/>
          <w:b/>
          <w:bCs/>
          <w:color w:val="auto"/>
          <w:sz w:val="21"/>
          <w:szCs w:val="21"/>
          <w:highlight w:val="none"/>
        </w:rPr>
        <w:t>1.3设计制造引用相关标准</w:t>
      </w:r>
      <w:bookmarkEnd w:id="174"/>
    </w:p>
    <w:p>
      <w:pPr>
        <w:pStyle w:val="6"/>
        <w:spacing w:before="160" w:after="0" w:line="360" w:lineRule="auto"/>
        <w:ind w:right="105" w:firstLine="416" w:firstLineChars="200"/>
        <w:jc w:val="left"/>
        <w:rPr>
          <w:rFonts w:ascii="宋体" w:hAnsi="宋体"/>
          <w:color w:val="auto"/>
          <w:highlight w:val="none"/>
        </w:rPr>
      </w:pPr>
      <w:r>
        <w:rPr>
          <w:rFonts w:ascii="宋体" w:hAnsi="宋体"/>
          <w:color w:val="auto"/>
          <w:spacing w:val="-1"/>
          <w:highlight w:val="none"/>
        </w:rPr>
        <w:t>为使低压变频器能够适应机组的各种运行工况，本合同设备的设计、制造、包装、运输、安装、调试和运行验收等，应不低于下列标准的规定，同时不限于下述标准，并应采用最新版本的相应</w:t>
      </w:r>
      <w:r>
        <w:rPr>
          <w:rFonts w:ascii="宋体" w:hAnsi="宋体"/>
          <w:color w:val="auto"/>
          <w:highlight w:val="none"/>
        </w:rPr>
        <w:t>标准。</w:t>
      </w:r>
    </w:p>
    <w:p>
      <w:pPr>
        <w:pStyle w:val="6"/>
        <w:spacing w:before="160" w:after="0" w:line="360" w:lineRule="auto"/>
        <w:ind w:right="105" w:firstLine="416" w:firstLineChars="200"/>
        <w:rPr>
          <w:rFonts w:ascii="宋体" w:hAnsi="宋体"/>
          <w:color w:val="auto"/>
          <w:spacing w:val="-1"/>
          <w:highlight w:val="none"/>
        </w:rPr>
      </w:pPr>
      <w:r>
        <w:rPr>
          <w:rFonts w:ascii="宋体" w:hAnsi="宋体"/>
          <w:color w:val="auto"/>
          <w:spacing w:val="-1"/>
          <w:highlight w:val="none"/>
        </w:rPr>
        <w:t>GB3797—89</w:t>
      </w:r>
      <w:r>
        <w:rPr>
          <w:rFonts w:ascii="宋体" w:hAnsi="宋体"/>
          <w:color w:val="auto"/>
          <w:spacing w:val="-1"/>
          <w:highlight w:val="none"/>
        </w:rPr>
        <w:tab/>
      </w:r>
      <w:r>
        <w:rPr>
          <w:rFonts w:ascii="宋体" w:hAnsi="宋体"/>
          <w:color w:val="auto"/>
          <w:spacing w:val="-1"/>
          <w:highlight w:val="none"/>
        </w:rPr>
        <w:t>电控设备</w:t>
      </w:r>
      <w:r>
        <w:rPr>
          <w:rFonts w:ascii="宋体" w:hAnsi="宋体"/>
          <w:color w:val="auto"/>
          <w:spacing w:val="-1"/>
          <w:highlight w:val="none"/>
        </w:rPr>
        <w:tab/>
      </w:r>
      <w:r>
        <w:rPr>
          <w:rFonts w:ascii="宋体" w:hAnsi="宋体"/>
          <w:color w:val="auto"/>
          <w:spacing w:val="-1"/>
          <w:highlight w:val="none"/>
        </w:rPr>
        <w:t>第二部分</w:t>
      </w:r>
      <w:r>
        <w:rPr>
          <w:rFonts w:ascii="宋体" w:hAnsi="宋体"/>
          <w:color w:val="auto"/>
          <w:spacing w:val="-1"/>
          <w:highlight w:val="none"/>
        </w:rPr>
        <w:tab/>
      </w:r>
      <w:r>
        <w:rPr>
          <w:rFonts w:ascii="宋体" w:hAnsi="宋体"/>
          <w:color w:val="auto"/>
          <w:spacing w:val="-1"/>
          <w:highlight w:val="none"/>
        </w:rPr>
        <w:t>装有电子器件的电控设备</w:t>
      </w:r>
    </w:p>
    <w:p>
      <w:pPr>
        <w:pStyle w:val="6"/>
        <w:spacing w:before="160" w:after="0" w:line="360" w:lineRule="auto"/>
        <w:ind w:right="105" w:firstLine="416" w:firstLineChars="200"/>
        <w:rPr>
          <w:rFonts w:ascii="宋体" w:hAnsi="宋体"/>
          <w:color w:val="auto"/>
          <w:spacing w:val="-1"/>
          <w:highlight w:val="none"/>
        </w:rPr>
      </w:pPr>
      <w:r>
        <w:rPr>
          <w:rFonts w:ascii="宋体" w:hAnsi="宋体"/>
          <w:color w:val="auto"/>
          <w:spacing w:val="-1"/>
          <w:highlight w:val="none"/>
        </w:rPr>
        <w:t>GB/T3859—93</w:t>
      </w:r>
      <w:r>
        <w:rPr>
          <w:rFonts w:ascii="宋体" w:hAnsi="宋体"/>
          <w:color w:val="auto"/>
          <w:spacing w:val="-1"/>
          <w:highlight w:val="none"/>
        </w:rPr>
        <w:tab/>
      </w:r>
      <w:r>
        <w:rPr>
          <w:rFonts w:ascii="宋体" w:hAnsi="宋体"/>
          <w:color w:val="auto"/>
          <w:spacing w:val="-1"/>
          <w:highlight w:val="none"/>
        </w:rPr>
        <w:t xml:space="preserve">半导体变流器 </w:t>
      </w:r>
    </w:p>
    <w:p>
      <w:pPr>
        <w:pStyle w:val="6"/>
        <w:spacing w:before="160" w:after="0" w:line="360" w:lineRule="auto"/>
        <w:ind w:right="105" w:firstLine="416" w:firstLineChars="200"/>
        <w:rPr>
          <w:rFonts w:ascii="宋体" w:hAnsi="宋体"/>
          <w:color w:val="auto"/>
          <w:spacing w:val="-1"/>
          <w:highlight w:val="none"/>
        </w:rPr>
      </w:pPr>
      <w:r>
        <w:rPr>
          <w:rFonts w:ascii="宋体" w:hAnsi="宋体"/>
          <w:color w:val="auto"/>
          <w:spacing w:val="-1"/>
          <w:highlight w:val="none"/>
        </w:rPr>
        <w:t>GB4064—83</w:t>
      </w:r>
      <w:r>
        <w:rPr>
          <w:rFonts w:ascii="宋体" w:hAnsi="宋体"/>
          <w:color w:val="auto"/>
          <w:spacing w:val="-1"/>
          <w:highlight w:val="none"/>
        </w:rPr>
        <w:tab/>
      </w:r>
      <w:r>
        <w:rPr>
          <w:rFonts w:ascii="宋体" w:hAnsi="宋体"/>
          <w:color w:val="auto"/>
          <w:spacing w:val="-1"/>
          <w:highlight w:val="none"/>
        </w:rPr>
        <w:t xml:space="preserve">电气设备安全设计导则 </w:t>
      </w:r>
    </w:p>
    <w:p>
      <w:pPr>
        <w:pStyle w:val="6"/>
        <w:spacing w:before="160" w:after="0" w:line="360" w:lineRule="auto"/>
        <w:ind w:right="105" w:firstLine="416" w:firstLineChars="200"/>
        <w:rPr>
          <w:rFonts w:ascii="宋体" w:hAnsi="宋体"/>
          <w:color w:val="auto"/>
          <w:spacing w:val="-1"/>
          <w:highlight w:val="none"/>
        </w:rPr>
      </w:pPr>
      <w:r>
        <w:rPr>
          <w:rFonts w:ascii="宋体" w:hAnsi="宋体"/>
          <w:color w:val="auto"/>
          <w:spacing w:val="-1"/>
          <w:highlight w:val="none"/>
        </w:rPr>
        <w:t>GB4208—93</w:t>
      </w:r>
      <w:r>
        <w:rPr>
          <w:rFonts w:ascii="宋体" w:hAnsi="宋体"/>
          <w:color w:val="auto"/>
          <w:spacing w:val="-1"/>
          <w:highlight w:val="none"/>
        </w:rPr>
        <w:tab/>
      </w:r>
      <w:r>
        <w:rPr>
          <w:rFonts w:ascii="宋体" w:hAnsi="宋体"/>
          <w:color w:val="auto"/>
          <w:spacing w:val="-1"/>
          <w:highlight w:val="none"/>
        </w:rPr>
        <w:t>外壳防护等级(IP 代码</w:t>
      </w:r>
      <w:r>
        <w:rPr>
          <w:rFonts w:hint="eastAsia" w:ascii="宋体" w:hAnsi="宋体"/>
          <w:color w:val="auto"/>
          <w:spacing w:val="-1"/>
          <w:highlight w:val="none"/>
        </w:rPr>
        <w:t>）</w:t>
      </w:r>
    </w:p>
    <w:p>
      <w:pPr>
        <w:pStyle w:val="6"/>
        <w:spacing w:before="160" w:after="0" w:line="360" w:lineRule="auto"/>
        <w:ind w:right="105" w:firstLine="416" w:firstLineChars="200"/>
        <w:rPr>
          <w:rFonts w:ascii="宋体" w:hAnsi="宋体"/>
          <w:color w:val="auto"/>
          <w:spacing w:val="-1"/>
          <w:highlight w:val="none"/>
        </w:rPr>
      </w:pPr>
      <w:r>
        <w:rPr>
          <w:rFonts w:ascii="宋体" w:hAnsi="宋体"/>
          <w:color w:val="auto"/>
          <w:spacing w:val="-1"/>
          <w:highlight w:val="none"/>
        </w:rPr>
        <w:t>GB6162—85</w:t>
      </w:r>
      <w:r>
        <w:rPr>
          <w:rFonts w:ascii="宋体" w:hAnsi="宋体"/>
          <w:color w:val="auto"/>
          <w:spacing w:val="-1"/>
          <w:highlight w:val="none"/>
        </w:rPr>
        <w:tab/>
      </w:r>
      <w:r>
        <w:rPr>
          <w:rFonts w:ascii="宋体" w:hAnsi="宋体"/>
          <w:color w:val="auto"/>
          <w:spacing w:val="-1"/>
          <w:highlight w:val="none"/>
        </w:rPr>
        <w:t xml:space="preserve">静态继电器及保护装置的电气干扰试验 </w:t>
      </w:r>
    </w:p>
    <w:p>
      <w:pPr>
        <w:pStyle w:val="6"/>
        <w:spacing w:before="160" w:after="0" w:line="360" w:lineRule="auto"/>
        <w:ind w:right="105" w:firstLine="416" w:firstLineChars="200"/>
        <w:rPr>
          <w:rFonts w:ascii="宋体" w:hAnsi="宋体"/>
          <w:color w:val="auto"/>
          <w:spacing w:val="-1"/>
          <w:highlight w:val="none"/>
        </w:rPr>
      </w:pPr>
      <w:r>
        <w:rPr>
          <w:rFonts w:ascii="宋体" w:hAnsi="宋体"/>
          <w:color w:val="auto"/>
          <w:spacing w:val="-1"/>
          <w:highlight w:val="none"/>
        </w:rPr>
        <w:t>GB13926—92</w:t>
      </w:r>
      <w:r>
        <w:rPr>
          <w:rFonts w:ascii="宋体" w:hAnsi="宋体"/>
          <w:color w:val="auto"/>
          <w:spacing w:val="-1"/>
          <w:highlight w:val="none"/>
        </w:rPr>
        <w:tab/>
      </w:r>
      <w:r>
        <w:rPr>
          <w:rFonts w:ascii="宋体" w:hAnsi="宋体"/>
          <w:color w:val="auto"/>
          <w:spacing w:val="-1"/>
          <w:highlight w:val="none"/>
        </w:rPr>
        <w:t xml:space="preserve">工业过程测量和控制装置的电磁兼容性 </w:t>
      </w:r>
    </w:p>
    <w:p>
      <w:pPr>
        <w:pStyle w:val="6"/>
        <w:spacing w:before="160" w:after="0" w:line="360" w:lineRule="auto"/>
        <w:ind w:right="105" w:firstLine="416" w:firstLineChars="200"/>
        <w:rPr>
          <w:rFonts w:ascii="宋体" w:hAnsi="宋体"/>
          <w:color w:val="auto"/>
          <w:spacing w:val="-1"/>
          <w:highlight w:val="none"/>
        </w:rPr>
      </w:pPr>
      <w:r>
        <w:rPr>
          <w:rFonts w:ascii="宋体" w:hAnsi="宋体"/>
          <w:color w:val="auto"/>
          <w:spacing w:val="-1"/>
          <w:highlight w:val="none"/>
        </w:rPr>
        <w:t>GB14285—93</w:t>
      </w:r>
      <w:r>
        <w:rPr>
          <w:rFonts w:ascii="宋体" w:hAnsi="宋体"/>
          <w:color w:val="auto"/>
          <w:spacing w:val="-1"/>
          <w:highlight w:val="none"/>
        </w:rPr>
        <w:tab/>
      </w:r>
      <w:r>
        <w:rPr>
          <w:rFonts w:ascii="宋体" w:hAnsi="宋体"/>
          <w:color w:val="auto"/>
          <w:spacing w:val="-1"/>
          <w:highlight w:val="none"/>
        </w:rPr>
        <w:t>继电保护和安全自动装置技术规程</w:t>
      </w:r>
    </w:p>
    <w:p>
      <w:pPr>
        <w:pStyle w:val="6"/>
        <w:spacing w:before="160" w:after="0" w:line="360" w:lineRule="auto"/>
        <w:ind w:right="105" w:firstLine="416" w:firstLineChars="200"/>
        <w:rPr>
          <w:rFonts w:ascii="宋体" w:hAnsi="宋体"/>
          <w:color w:val="auto"/>
          <w:spacing w:val="-1"/>
          <w:highlight w:val="none"/>
        </w:rPr>
      </w:pPr>
      <w:r>
        <w:rPr>
          <w:rFonts w:ascii="宋体" w:hAnsi="宋体"/>
          <w:color w:val="auto"/>
          <w:spacing w:val="-1"/>
          <w:highlight w:val="none"/>
        </w:rPr>
        <w:t>GB/T14598.9—1995</w:t>
      </w:r>
      <w:r>
        <w:rPr>
          <w:rFonts w:ascii="宋体" w:hAnsi="宋体"/>
          <w:color w:val="auto"/>
          <w:spacing w:val="-1"/>
          <w:highlight w:val="none"/>
        </w:rPr>
        <w:tab/>
      </w:r>
      <w:r>
        <w:rPr>
          <w:rFonts w:ascii="宋体" w:hAnsi="宋体"/>
          <w:color w:val="auto"/>
          <w:spacing w:val="-1"/>
          <w:highlight w:val="none"/>
        </w:rPr>
        <w:t>量度继电器和保护装置的电气干扰试验：辐射电磁场干扰试验</w:t>
      </w:r>
    </w:p>
    <w:p>
      <w:pPr>
        <w:pStyle w:val="6"/>
        <w:spacing w:before="160" w:after="0" w:line="360" w:lineRule="auto"/>
        <w:ind w:right="105" w:firstLine="416" w:firstLineChars="200"/>
        <w:rPr>
          <w:rFonts w:ascii="宋体" w:hAnsi="宋体"/>
          <w:color w:val="auto"/>
          <w:spacing w:val="-1"/>
          <w:highlight w:val="none"/>
        </w:rPr>
      </w:pPr>
      <w:r>
        <w:rPr>
          <w:rFonts w:ascii="宋体" w:hAnsi="宋体"/>
          <w:color w:val="auto"/>
          <w:spacing w:val="-1"/>
          <w:highlight w:val="none"/>
        </w:rPr>
        <w:t>GB50150—91</w:t>
      </w:r>
      <w:r>
        <w:rPr>
          <w:rFonts w:ascii="宋体" w:hAnsi="宋体"/>
          <w:color w:val="auto"/>
          <w:spacing w:val="-1"/>
          <w:highlight w:val="none"/>
        </w:rPr>
        <w:tab/>
      </w:r>
      <w:r>
        <w:rPr>
          <w:rFonts w:ascii="宋体" w:hAnsi="宋体"/>
          <w:color w:val="auto"/>
          <w:spacing w:val="-1"/>
          <w:highlight w:val="none"/>
        </w:rPr>
        <w:t>电气装置安装工程</w:t>
      </w:r>
      <w:r>
        <w:rPr>
          <w:rFonts w:ascii="宋体" w:hAnsi="宋体"/>
          <w:color w:val="auto"/>
          <w:spacing w:val="-1"/>
          <w:highlight w:val="none"/>
        </w:rPr>
        <w:tab/>
      </w:r>
      <w:r>
        <w:rPr>
          <w:rFonts w:ascii="宋体" w:hAnsi="宋体"/>
          <w:color w:val="auto"/>
          <w:spacing w:val="-1"/>
          <w:highlight w:val="none"/>
        </w:rPr>
        <w:t xml:space="preserve">电气设备交接试验标准 </w:t>
      </w:r>
    </w:p>
    <w:p>
      <w:pPr>
        <w:pStyle w:val="6"/>
        <w:spacing w:before="160" w:after="0" w:line="360" w:lineRule="auto"/>
        <w:ind w:right="105" w:firstLine="416" w:firstLineChars="200"/>
        <w:rPr>
          <w:rFonts w:ascii="宋体" w:hAnsi="宋体"/>
          <w:color w:val="auto"/>
          <w:spacing w:val="-1"/>
          <w:highlight w:val="none"/>
        </w:rPr>
      </w:pPr>
      <w:r>
        <w:rPr>
          <w:rFonts w:ascii="宋体" w:hAnsi="宋体"/>
          <w:color w:val="auto"/>
          <w:spacing w:val="-1"/>
          <w:highlight w:val="none"/>
        </w:rPr>
        <w:t>JB/T7828—1995</w:t>
      </w:r>
      <w:r>
        <w:rPr>
          <w:rFonts w:ascii="宋体" w:hAnsi="宋体"/>
          <w:color w:val="auto"/>
          <w:spacing w:val="-1"/>
          <w:highlight w:val="none"/>
        </w:rPr>
        <w:tab/>
      </w:r>
      <w:r>
        <w:rPr>
          <w:rFonts w:hint="eastAsia" w:ascii="宋体" w:hAnsi="宋体"/>
          <w:color w:val="auto"/>
          <w:spacing w:val="-1"/>
          <w:highlight w:val="none"/>
        </w:rPr>
        <w:t xml:space="preserve">    </w:t>
      </w:r>
      <w:r>
        <w:rPr>
          <w:rFonts w:ascii="宋体" w:hAnsi="宋体"/>
          <w:color w:val="auto"/>
          <w:spacing w:val="-1"/>
          <w:highlight w:val="none"/>
        </w:rPr>
        <w:t xml:space="preserve">继电器及其装置包装贮运技术条件 </w:t>
      </w:r>
    </w:p>
    <w:p>
      <w:pPr>
        <w:pStyle w:val="6"/>
        <w:spacing w:before="160" w:after="0" w:line="360" w:lineRule="auto"/>
        <w:ind w:right="105" w:firstLine="416" w:firstLineChars="200"/>
        <w:rPr>
          <w:rFonts w:ascii="宋体" w:hAnsi="宋体"/>
          <w:color w:val="auto"/>
          <w:spacing w:val="-1"/>
          <w:highlight w:val="none"/>
        </w:rPr>
      </w:pPr>
      <w:r>
        <w:rPr>
          <w:rFonts w:ascii="宋体" w:hAnsi="宋体"/>
          <w:color w:val="auto"/>
          <w:spacing w:val="-1"/>
          <w:highlight w:val="none"/>
        </w:rPr>
        <w:t>DL478—92</w:t>
      </w:r>
      <w:r>
        <w:rPr>
          <w:rFonts w:ascii="宋体" w:hAnsi="宋体"/>
          <w:color w:val="auto"/>
          <w:spacing w:val="-1"/>
          <w:highlight w:val="none"/>
        </w:rPr>
        <w:tab/>
      </w:r>
      <w:r>
        <w:rPr>
          <w:rFonts w:ascii="宋体" w:hAnsi="宋体"/>
          <w:color w:val="auto"/>
          <w:spacing w:val="-1"/>
          <w:highlight w:val="none"/>
        </w:rPr>
        <w:t xml:space="preserve">静态继电保护和安全自动装置通用技术条件 </w:t>
      </w:r>
    </w:p>
    <w:p>
      <w:pPr>
        <w:pStyle w:val="6"/>
        <w:spacing w:before="160" w:after="0" w:line="360" w:lineRule="auto"/>
        <w:ind w:right="105" w:firstLine="416" w:firstLineChars="200"/>
        <w:rPr>
          <w:color w:val="auto"/>
          <w:highlight w:val="none"/>
        </w:rPr>
      </w:pPr>
      <w:r>
        <w:rPr>
          <w:rFonts w:ascii="宋体" w:hAnsi="宋体"/>
          <w:color w:val="auto"/>
          <w:spacing w:val="-1"/>
          <w:highlight w:val="none"/>
        </w:rPr>
        <w:t>DL/T596—1996</w:t>
      </w:r>
      <w:r>
        <w:rPr>
          <w:rFonts w:ascii="宋体" w:hAnsi="宋体"/>
          <w:color w:val="auto"/>
          <w:spacing w:val="-1"/>
          <w:highlight w:val="none"/>
        </w:rPr>
        <w:tab/>
      </w:r>
      <w:r>
        <w:rPr>
          <w:rFonts w:ascii="宋体" w:hAnsi="宋体"/>
          <w:color w:val="auto"/>
          <w:spacing w:val="-1"/>
          <w:highlight w:val="none"/>
        </w:rPr>
        <w:tab/>
      </w:r>
      <w:r>
        <w:rPr>
          <w:rFonts w:ascii="宋体" w:hAnsi="宋体"/>
          <w:color w:val="auto"/>
          <w:spacing w:val="-1"/>
          <w:highlight w:val="none"/>
        </w:rPr>
        <w:t>电力设备预防性</w:t>
      </w:r>
    </w:p>
    <w:sectPr>
      <w:footerReference r:id="rId4" w:type="default"/>
      <w:pgSz w:w="11906" w:h="16838"/>
      <w:pgMar w:top="1440" w:right="1800" w:bottom="1440" w:left="1800" w:header="851" w:footer="992" w:gutter="0"/>
      <w:pgNumType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09953C4B-4099-4DBB-9C05-E87AF0BAB7DD}"/>
  </w:font>
  <w:font w:name="Arial">
    <w:panose1 w:val="020B0604020202020204"/>
    <w:charset w:val="01"/>
    <w:family w:val="swiss"/>
    <w:pitch w:val="default"/>
    <w:sig w:usb0="E0002EFF" w:usb1="C000785B" w:usb2="00000009" w:usb3="00000000" w:csb0="400001FF" w:csb1="FFFF0000"/>
    <w:embedRegular r:id="rId2" w:fontKey="{58EB333C-21EE-4BBB-A58D-189A03B7CC72}"/>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3962B5AE-041D-40EB-B349-08608D2CAE30}"/>
  </w:font>
  <w:font w:name="Symbol">
    <w:panose1 w:val="05050102010706020507"/>
    <w:charset w:val="02"/>
    <w:family w:val="roman"/>
    <w:pitch w:val="default"/>
    <w:sig w:usb0="00000000" w:usb1="00000000" w:usb2="00000000" w:usb3="00000000" w:csb0="80000000" w:csb1="00000000"/>
    <w:embedRegular r:id="rId4" w:fontKey="{8B2DC468-5743-4F38-94B8-029EDDD7CC9B}"/>
  </w:font>
  <w:font w:name="Calibri">
    <w:panose1 w:val="020F0502020204030204"/>
    <w:charset w:val="00"/>
    <w:family w:val="swiss"/>
    <w:pitch w:val="default"/>
    <w:sig w:usb0="E4002EFF" w:usb1="C000247B" w:usb2="00000009" w:usb3="00000000" w:csb0="200001FF" w:csb1="00000000"/>
    <w:embedRegular r:id="rId5" w:fontKey="{AB813C58-FD15-4F2F-9B08-E5DA5D359609}"/>
  </w:font>
  <w:font w:name="汉仪大宋简">
    <w:altName w:val="宋体"/>
    <w:panose1 w:val="00000000000000000000"/>
    <w:charset w:val="86"/>
    <w:family w:val="modern"/>
    <w:pitch w:val="default"/>
    <w:sig w:usb0="00000000" w:usb1="00000000" w:usb2="00000012" w:usb3="00000000" w:csb0="00040000" w:csb1="00000000"/>
  </w:font>
  <w:font w:name="Arial">
    <w:panose1 w:val="020B0604020202020204"/>
    <w:charset w:val="00"/>
    <w:family w:val="swiss"/>
    <w:pitch w:val="default"/>
    <w:sig w:usb0="E0002EFF" w:usb1="C000785B" w:usb2="00000009" w:usb3="00000000" w:csb0="400001FF" w:csb1="FFFF0000"/>
    <w:embedRegular r:id="rId6" w:fontKey="{357DF5CD-62F8-4C2A-8F4D-9CA6D8AECA8C}"/>
  </w:font>
  <w:font w:name="Courier New">
    <w:panose1 w:val="02070309020205020404"/>
    <w:charset w:val="00"/>
    <w:family w:val="modern"/>
    <w:pitch w:val="default"/>
    <w:sig w:usb0="E0002EFF" w:usb1="C0007843" w:usb2="00000009" w:usb3="00000000" w:csb0="400001FF" w:csb1="FFFF0000"/>
    <w:embedRegular r:id="rId7" w:fontKey="{DC9A4889-6254-4B11-8046-D995286F7A58}"/>
  </w:font>
  <w:font w:name="EU-F1">
    <w:altName w:val="宋体"/>
    <w:panose1 w:val="00000000000000000000"/>
    <w:charset w:val="86"/>
    <w:family w:val="script"/>
    <w:pitch w:val="default"/>
    <w:sig w:usb0="00000000" w:usb1="00000000" w:usb2="00000010" w:usb3="00000000" w:csb0="00040000" w:csb1="00000000"/>
  </w:font>
  <w:font w:name="E-F1">
    <w:altName w:val="Malgun Gothic"/>
    <w:panose1 w:val="00000000000000000000"/>
    <w:charset w:val="81"/>
    <w:family w:val="auto"/>
    <w:pitch w:val="default"/>
    <w:sig w:usb0="00000000" w:usb1="00000000" w:usb2="00000033" w:usb3="00000000" w:csb0="00080000" w:csb1="00000000"/>
  </w:font>
  <w:font w:name="仿宋">
    <w:panose1 w:val="02010609060101010101"/>
    <w:charset w:val="86"/>
    <w:family w:val="modern"/>
    <w:pitch w:val="default"/>
    <w:sig w:usb0="800002BF" w:usb1="38CF7CFA" w:usb2="00000016" w:usb3="00000000" w:csb0="00040001" w:csb1="00000000"/>
  </w:font>
  <w:font w:name="ヒラギノ角ゴ Pro W3">
    <w:altName w:val="Times New Roman"/>
    <w:panose1 w:val="00000000000000000000"/>
    <w:charset w:val="00"/>
    <w:family w:val="auto"/>
    <w:pitch w:val="default"/>
    <w:sig w:usb0="00000000" w:usb1="00000000" w:usb2="00000000" w:usb3="00000000" w:csb0="00040001" w:csb1="00000000"/>
    <w:embedRegular r:id="rId8" w:fontKey="{E6113B83-089A-4CCE-AEE3-937F57376C10}"/>
  </w:font>
  <w:font w:name="宋体-WinCharSetFFFF-H">
    <w:altName w:val="宋体"/>
    <w:panose1 w:val="00000000000000000000"/>
    <w:charset w:val="86"/>
    <w:family w:val="auto"/>
    <w:pitch w:val="default"/>
    <w:sig w:usb0="00000000" w:usb1="00000000" w:usb2="00000010" w:usb3="00000000" w:csb0="00040000" w:csb1="00000000"/>
    <w:embedRegular r:id="rId9" w:fontKey="{8C510E90-1290-43FC-BAB2-ED1D931DC041}"/>
  </w:font>
  <w:font w:name="仿宋_GB2312">
    <w:panose1 w:val="02010609030101010101"/>
    <w:charset w:val="86"/>
    <w:family w:val="modern"/>
    <w:pitch w:val="default"/>
    <w:sig w:usb0="00000001" w:usb1="080E0000" w:usb2="00000000" w:usb3="00000000" w:csb0="00040000" w:csb1="00000000"/>
    <w:embedRegular r:id="rId10" w:fontKey="{CE244FC7-142F-467A-B5DE-753783B47A0A}"/>
  </w:font>
  <w:font w:name="等线 Light">
    <w:panose1 w:val="02010600030101010101"/>
    <w:charset w:val="86"/>
    <w:family w:val="auto"/>
    <w:pitch w:val="default"/>
    <w:sig w:usb0="A00002BF" w:usb1="38CF7CFA" w:usb2="00000016" w:usb3="00000000" w:csb0="0004000F" w:csb1="00000000"/>
    <w:embedRegular r:id="rId11" w:fontKey="{7FECB7A4-68C0-4524-88F1-1FEA15CA02AD}"/>
  </w:font>
  <w:font w:name="Arial Unicode MS">
    <w:altName w:val="Arial"/>
    <w:panose1 w:val="020B0604020202020204"/>
    <w:charset w:val="00"/>
    <w:family w:val="roman"/>
    <w:pitch w:val="default"/>
    <w:sig w:usb0="00000000" w:usb1="00000000" w:usb2="00000000" w:usb3="00000000" w:csb0="00000001" w:csb1="00000000"/>
  </w:font>
  <w:font w:name="微软雅黑">
    <w:panose1 w:val="020B0503020204020204"/>
    <w:charset w:val="86"/>
    <w:family w:val="swiss"/>
    <w:pitch w:val="default"/>
    <w:sig w:usb0="80000287" w:usb1="2ACF3C50" w:usb2="00000016" w:usb3="00000000" w:csb0="0004001F" w:csb1="00000000"/>
    <w:embedRegular r:id="rId12" w:fontKey="{9CF22992-EDC3-4A27-A3C7-27FEAEF4FB00}"/>
  </w:font>
  <w:font w:name="Malgun Gothic">
    <w:panose1 w:val="020B0503020000020004"/>
    <w:charset w:val="81"/>
    <w:family w:val="auto"/>
    <w:pitch w:val="default"/>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00" w:lineRule="exact"/>
      <w:rPr>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00" w:lineRule="exact"/>
      <w:rPr>
        <w:sz w:val="20"/>
        <w:szCs w:val="20"/>
      </w:rPr>
    </w:pPr>
    <w:r>
      <w:rPr>
        <w:sz w:val="20"/>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57785" cy="131445"/>
              <wp:effectExtent l="0" t="0" r="0" b="0"/>
              <wp:wrapNone/>
              <wp:docPr id="1" name="文本框 4"/>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wps:spPr>
                    <wps:txbx>
                      <w:txbxContent>
                        <w:p>
                          <w:pPr>
                            <w:pStyle w:val="9"/>
                          </w:pPr>
                          <w:r>
                            <w:fldChar w:fldCharType="begin"/>
                          </w:r>
                          <w:r>
                            <w:instrText xml:space="preserve"> PAGE  \* MERGEFORMAT </w:instrText>
                          </w:r>
                          <w:r>
                            <w:fldChar w:fldCharType="separate"/>
                          </w:r>
                          <w:r>
                            <w:rPr>
                              <w:lang w:val="en-US" w:eastAsia="zh-CN"/>
                            </w:rPr>
                            <w:t>52</w:t>
                          </w:r>
                          <w:r>
                            <w:fldChar w:fldCharType="end"/>
                          </w:r>
                        </w:p>
                      </w:txbxContent>
                    </wps:txbx>
                    <wps:bodyPr rot="0" vert="horz" wrap="none" lIns="0" tIns="0" rIns="0" bIns="0" anchor="t" anchorCtr="0" upright="1">
                      <a:spAutoFit/>
                    </wps:bodyPr>
                  </wps:wsp>
                </a:graphicData>
              </a:graphic>
            </wp:anchor>
          </w:drawing>
        </mc:Choice>
        <mc:Fallback>
          <w:pict>
            <v:shape id="文本框 4" o:spid="_x0000_s1026" o:spt="202" type="#_x0000_t202" style="position:absolute;left:0pt;margin-top:0pt;height:10.35pt;width:4.55pt;mso-position-horizontal:center;mso-position-horizontal-relative:margin;mso-wrap-style:none;z-index:251659264;mso-width-relative:page;mso-height-relative:page;" filled="f" stroked="f" coordsize="21600,21600" o:gfxdata="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L3UTQAAAAAgEAAA8AAAAAAAAAAQAgAAAAIgAAAGRycy9k&#10;b3ducmV2LnhtbFBLAQIUABQAAAAIAIdO4kAOCxemCgIAAAEEAAAOAAAAAAAAAAEAIAAAAB8BAABk&#10;cnMvZTJvRG9jLnhtbFBLBQYAAAAABgAGAFkBAACbBQAAAAA=&#10;">
              <v:fill on="f" focussize="0,0"/>
              <v:stroke on="f"/>
              <v:imagedata o:title=""/>
              <o:lock v:ext="edit" aspectratio="f"/>
              <v:textbox inset="0mm,0mm,0mm,0mm" style="mso-fit-shape-to-text:t;">
                <w:txbxContent>
                  <w:p>
                    <w:pPr>
                      <w:pStyle w:val="9"/>
                    </w:pPr>
                    <w:r>
                      <w:fldChar w:fldCharType="begin"/>
                    </w:r>
                    <w:r>
                      <w:instrText xml:space="preserve"> PAGE  \* MERGEFORMAT </w:instrText>
                    </w:r>
                    <w:r>
                      <w:fldChar w:fldCharType="separate"/>
                    </w:r>
                    <w:r>
                      <w:rPr>
                        <w:lang w:val="en-US" w:eastAsia="zh-CN"/>
                      </w:rPr>
                      <w:t>52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E2661C7"/>
    <w:multiLevelType w:val="multilevel"/>
    <w:tmpl w:val="8E2661C7"/>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
    <w:nsid w:val="9405F6DE"/>
    <w:multiLevelType w:val="singleLevel"/>
    <w:tmpl w:val="9405F6DE"/>
    <w:lvl w:ilvl="0" w:tentative="0">
      <w:start w:val="1"/>
      <w:numFmt w:val="decimal"/>
      <w:lvlText w:val="%1)"/>
      <w:lvlJc w:val="left"/>
      <w:pPr>
        <w:ind w:left="425" w:hanging="425"/>
      </w:pPr>
      <w:rPr>
        <w:rFonts w:hint="default"/>
      </w:rPr>
    </w:lvl>
  </w:abstractNum>
  <w:abstractNum w:abstractNumId="2">
    <w:nsid w:val="A5288453"/>
    <w:multiLevelType w:val="multilevel"/>
    <w:tmpl w:val="A5288453"/>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3">
    <w:nsid w:val="B304AA72"/>
    <w:multiLevelType w:val="multilevel"/>
    <w:tmpl w:val="B304AA72"/>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4">
    <w:nsid w:val="B4723AC3"/>
    <w:multiLevelType w:val="multilevel"/>
    <w:tmpl w:val="B4723AC3"/>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5">
    <w:nsid w:val="BAEBF77C"/>
    <w:multiLevelType w:val="multilevel"/>
    <w:tmpl w:val="BAEBF77C"/>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6">
    <w:nsid w:val="BEC81FC2"/>
    <w:multiLevelType w:val="multilevel"/>
    <w:tmpl w:val="BEC81FC2"/>
    <w:lvl w:ilvl="0" w:tentative="0">
      <w:start w:val="1"/>
      <w:numFmt w:val="decimal"/>
      <w:lvlText w:val="%1)"/>
      <w:lvlJc w:val="left"/>
      <w:pPr>
        <w:ind w:left="0" w:firstLine="0"/>
      </w:pPr>
      <w:rPr>
        <w:rFonts w:hint="default" w:cs="Arial"/>
        <w:b w:val="0"/>
      </w:rPr>
    </w:lvl>
    <w:lvl w:ilvl="1" w:tentative="0">
      <w:start w:val="1"/>
      <w:numFmt w:val="decimal"/>
      <w:lvlText w:val="%2）"/>
      <w:lvlJc w:val="left"/>
      <w:pPr>
        <w:ind w:left="649" w:hanging="360"/>
      </w:pPr>
      <w:rPr>
        <w:rFonts w:hint="default"/>
      </w:rPr>
    </w:lvl>
    <w:lvl w:ilvl="2" w:tentative="0">
      <w:start w:val="1"/>
      <w:numFmt w:val="lowerRoman"/>
      <w:lvlText w:val="%3."/>
      <w:lvlJc w:val="right"/>
      <w:pPr>
        <w:ind w:left="1129" w:hanging="420"/>
      </w:pPr>
    </w:lvl>
    <w:lvl w:ilvl="3" w:tentative="0">
      <w:start w:val="1"/>
      <w:numFmt w:val="decimal"/>
      <w:lvlText w:val="%4."/>
      <w:lvlJc w:val="left"/>
      <w:pPr>
        <w:ind w:left="1549" w:hanging="420"/>
      </w:pPr>
    </w:lvl>
    <w:lvl w:ilvl="4" w:tentative="0">
      <w:start w:val="1"/>
      <w:numFmt w:val="lowerLetter"/>
      <w:lvlText w:val="%5)"/>
      <w:lvlJc w:val="left"/>
      <w:pPr>
        <w:ind w:left="1969" w:hanging="420"/>
      </w:pPr>
    </w:lvl>
    <w:lvl w:ilvl="5" w:tentative="0">
      <w:start w:val="1"/>
      <w:numFmt w:val="lowerRoman"/>
      <w:lvlText w:val="%6."/>
      <w:lvlJc w:val="right"/>
      <w:pPr>
        <w:ind w:left="2389" w:hanging="420"/>
      </w:pPr>
    </w:lvl>
    <w:lvl w:ilvl="6" w:tentative="0">
      <w:start w:val="1"/>
      <w:numFmt w:val="decimal"/>
      <w:lvlText w:val="%7."/>
      <w:lvlJc w:val="left"/>
      <w:pPr>
        <w:ind w:left="2809" w:hanging="420"/>
      </w:pPr>
    </w:lvl>
    <w:lvl w:ilvl="7" w:tentative="0">
      <w:start w:val="1"/>
      <w:numFmt w:val="lowerLetter"/>
      <w:lvlText w:val="%8)"/>
      <w:lvlJc w:val="left"/>
      <w:pPr>
        <w:ind w:left="3229" w:hanging="420"/>
      </w:pPr>
    </w:lvl>
    <w:lvl w:ilvl="8" w:tentative="0">
      <w:start w:val="1"/>
      <w:numFmt w:val="lowerRoman"/>
      <w:lvlText w:val="%9."/>
      <w:lvlJc w:val="right"/>
      <w:pPr>
        <w:ind w:left="3649" w:hanging="420"/>
      </w:pPr>
    </w:lvl>
  </w:abstractNum>
  <w:abstractNum w:abstractNumId="7">
    <w:nsid w:val="C384F427"/>
    <w:multiLevelType w:val="multilevel"/>
    <w:tmpl w:val="C384F427"/>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8">
    <w:nsid w:val="C5DF8E53"/>
    <w:multiLevelType w:val="multilevel"/>
    <w:tmpl w:val="C5DF8E53"/>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9">
    <w:nsid w:val="C9355EE9"/>
    <w:multiLevelType w:val="multilevel"/>
    <w:tmpl w:val="C9355EE9"/>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0">
    <w:nsid w:val="E5C8B228"/>
    <w:multiLevelType w:val="multilevel"/>
    <w:tmpl w:val="E5C8B228"/>
    <w:lvl w:ilvl="0" w:tentative="0">
      <w:start w:val="1"/>
      <w:numFmt w:val="decimal"/>
      <w:lvlText w:val="%1)"/>
      <w:lvlJc w:val="left"/>
      <w:pPr>
        <w:ind w:left="2121"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1">
    <w:nsid w:val="EB81560A"/>
    <w:multiLevelType w:val="multilevel"/>
    <w:tmpl w:val="EB81560A"/>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2">
    <w:nsid w:val="ED789A23"/>
    <w:multiLevelType w:val="multilevel"/>
    <w:tmpl w:val="ED789A23"/>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3">
    <w:nsid w:val="EED076E0"/>
    <w:multiLevelType w:val="multilevel"/>
    <w:tmpl w:val="EED076E0"/>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4">
    <w:nsid w:val="F48D0610"/>
    <w:multiLevelType w:val="multilevel"/>
    <w:tmpl w:val="F48D0610"/>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5">
    <w:nsid w:val="F51DC3C4"/>
    <w:multiLevelType w:val="multilevel"/>
    <w:tmpl w:val="F51DC3C4"/>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6">
    <w:nsid w:val="F89A825D"/>
    <w:multiLevelType w:val="multilevel"/>
    <w:tmpl w:val="F89A825D"/>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7">
    <w:nsid w:val="00000001"/>
    <w:multiLevelType w:val="singleLevel"/>
    <w:tmpl w:val="00000001"/>
    <w:lvl w:ilvl="0" w:tentative="0">
      <w:start w:val="1"/>
      <w:numFmt w:val="lowerLetter"/>
      <w:suff w:val="space"/>
      <w:lvlText w:val="%1)"/>
      <w:lvlJc w:val="left"/>
    </w:lvl>
  </w:abstractNum>
  <w:abstractNum w:abstractNumId="18">
    <w:nsid w:val="00000007"/>
    <w:multiLevelType w:val="multilevel"/>
    <w:tmpl w:val="00000007"/>
    <w:lvl w:ilvl="0" w:tentative="0">
      <w:start w:val="1"/>
      <w:numFmt w:val="decimal"/>
      <w:lvlText w:val="5.%1."/>
      <w:lvlJc w:val="left"/>
      <w:pPr>
        <w:ind w:left="420" w:hanging="420"/>
      </w:pPr>
      <w:rPr>
        <w:rFonts w:hint="eastAsia"/>
      </w:rPr>
    </w:lvl>
    <w:lvl w:ilvl="1" w:tentative="0">
      <w:start w:val="1"/>
      <w:numFmt w:val="decimal"/>
      <w:lvlText w:val="%2、"/>
      <w:lvlJc w:val="left"/>
      <w:pPr>
        <w:ind w:left="780" w:hanging="36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0000000A"/>
    <w:multiLevelType w:val="multilevel"/>
    <w:tmpl w:val="0000000A"/>
    <w:lvl w:ilvl="0" w:tentative="0">
      <w:start w:val="1"/>
      <w:numFmt w:val="decimal"/>
      <w:lvlText w:val="5.1.%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0000000C"/>
    <w:multiLevelType w:val="multilevel"/>
    <w:tmpl w:val="0000000C"/>
    <w:lvl w:ilvl="0" w:tentative="0">
      <w:start w:val="1"/>
      <w:numFmt w:val="lowerLetter"/>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0000000D"/>
    <w:multiLevelType w:val="multilevel"/>
    <w:tmpl w:val="0000000D"/>
    <w:lvl w:ilvl="0" w:tentative="0">
      <w:start w:val="1"/>
      <w:numFmt w:val="decimal"/>
      <w:lvlText w:val="3.%1."/>
      <w:lvlJc w:val="left"/>
      <w:pPr>
        <w:ind w:left="704" w:hanging="420"/>
      </w:pPr>
      <w:rPr>
        <w:rFonts w:hint="eastAsia"/>
      </w:rPr>
    </w:lvl>
    <w:lvl w:ilvl="1" w:tentative="0">
      <w:start w:val="1"/>
      <w:numFmt w:val="lowerLetter"/>
      <w:lvlText w:val="%2)"/>
      <w:lvlJc w:val="left"/>
      <w:pPr>
        <w:ind w:left="1544" w:hanging="840"/>
      </w:pPr>
      <w:rPr>
        <w:rFonts w:hint="default"/>
      </w:r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22">
    <w:nsid w:val="00000012"/>
    <w:multiLevelType w:val="multilevel"/>
    <w:tmpl w:val="00000012"/>
    <w:lvl w:ilvl="0" w:tentative="0">
      <w:start w:val="1"/>
      <w:numFmt w:val="decimal"/>
      <w:lvlText w:val="5.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0053208E"/>
    <w:multiLevelType w:val="singleLevel"/>
    <w:tmpl w:val="0053208E"/>
    <w:lvl w:ilvl="0" w:tentative="0">
      <w:start w:val="1"/>
      <w:numFmt w:val="lowerLetter"/>
      <w:suff w:val="space"/>
      <w:lvlText w:val="%1）"/>
      <w:lvlJc w:val="left"/>
    </w:lvl>
  </w:abstractNum>
  <w:abstractNum w:abstractNumId="24">
    <w:nsid w:val="0522F7A7"/>
    <w:multiLevelType w:val="singleLevel"/>
    <w:tmpl w:val="0522F7A7"/>
    <w:lvl w:ilvl="0" w:tentative="0">
      <w:start w:val="1"/>
      <w:numFmt w:val="decimal"/>
      <w:lvlText w:val="%1)"/>
      <w:lvlJc w:val="left"/>
      <w:pPr>
        <w:ind w:left="425" w:hanging="425"/>
      </w:pPr>
      <w:rPr>
        <w:rFonts w:hint="default"/>
      </w:rPr>
    </w:lvl>
  </w:abstractNum>
  <w:abstractNum w:abstractNumId="25">
    <w:nsid w:val="0EFD4477"/>
    <w:multiLevelType w:val="multilevel"/>
    <w:tmpl w:val="0EFD4477"/>
    <w:lvl w:ilvl="0" w:tentative="0">
      <w:start w:val="1"/>
      <w:numFmt w:val="decimal"/>
      <w:lvlText w:val="%1)"/>
      <w:lvlJc w:val="left"/>
      <w:pPr>
        <w:ind w:left="0" w:firstLine="0"/>
      </w:pPr>
      <w:rPr>
        <w:rFonts w:hint="default" w:cs="Arial"/>
        <w:b w:val="0"/>
      </w:rPr>
    </w:lvl>
    <w:lvl w:ilvl="1" w:tentative="0">
      <w:start w:val="1"/>
      <w:numFmt w:val="decimal"/>
      <w:lvlText w:val="%2）"/>
      <w:lvlJc w:val="left"/>
      <w:pPr>
        <w:ind w:left="649" w:hanging="360"/>
      </w:pPr>
      <w:rPr>
        <w:rFonts w:hint="default"/>
      </w:rPr>
    </w:lvl>
    <w:lvl w:ilvl="2" w:tentative="0">
      <w:start w:val="1"/>
      <w:numFmt w:val="lowerRoman"/>
      <w:lvlText w:val="%3."/>
      <w:lvlJc w:val="right"/>
      <w:pPr>
        <w:ind w:left="1129" w:hanging="420"/>
      </w:pPr>
    </w:lvl>
    <w:lvl w:ilvl="3" w:tentative="0">
      <w:start w:val="1"/>
      <w:numFmt w:val="decimal"/>
      <w:lvlText w:val="%4."/>
      <w:lvlJc w:val="left"/>
      <w:pPr>
        <w:ind w:left="1549" w:hanging="420"/>
      </w:pPr>
    </w:lvl>
    <w:lvl w:ilvl="4" w:tentative="0">
      <w:start w:val="1"/>
      <w:numFmt w:val="lowerLetter"/>
      <w:lvlText w:val="%5)"/>
      <w:lvlJc w:val="left"/>
      <w:pPr>
        <w:ind w:left="1969" w:hanging="420"/>
      </w:pPr>
    </w:lvl>
    <w:lvl w:ilvl="5" w:tentative="0">
      <w:start w:val="1"/>
      <w:numFmt w:val="lowerRoman"/>
      <w:lvlText w:val="%6."/>
      <w:lvlJc w:val="right"/>
      <w:pPr>
        <w:ind w:left="2389" w:hanging="420"/>
      </w:pPr>
    </w:lvl>
    <w:lvl w:ilvl="6" w:tentative="0">
      <w:start w:val="1"/>
      <w:numFmt w:val="decimal"/>
      <w:lvlText w:val="%7."/>
      <w:lvlJc w:val="left"/>
      <w:pPr>
        <w:ind w:left="2809" w:hanging="420"/>
      </w:pPr>
    </w:lvl>
    <w:lvl w:ilvl="7" w:tentative="0">
      <w:start w:val="1"/>
      <w:numFmt w:val="lowerLetter"/>
      <w:lvlText w:val="%8)"/>
      <w:lvlJc w:val="left"/>
      <w:pPr>
        <w:ind w:left="3229" w:hanging="420"/>
      </w:pPr>
    </w:lvl>
    <w:lvl w:ilvl="8" w:tentative="0">
      <w:start w:val="1"/>
      <w:numFmt w:val="lowerRoman"/>
      <w:lvlText w:val="%9."/>
      <w:lvlJc w:val="right"/>
      <w:pPr>
        <w:ind w:left="3649" w:hanging="420"/>
      </w:pPr>
    </w:lvl>
  </w:abstractNum>
  <w:abstractNum w:abstractNumId="26">
    <w:nsid w:val="110169D6"/>
    <w:multiLevelType w:val="multilevel"/>
    <w:tmpl w:val="110169D6"/>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27">
    <w:nsid w:val="18F42ECA"/>
    <w:multiLevelType w:val="multilevel"/>
    <w:tmpl w:val="18F42ECA"/>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28">
    <w:nsid w:val="1B70A60F"/>
    <w:multiLevelType w:val="multilevel"/>
    <w:tmpl w:val="1B70A60F"/>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29">
    <w:nsid w:val="1C75358A"/>
    <w:multiLevelType w:val="multilevel"/>
    <w:tmpl w:val="1C75358A"/>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30">
    <w:nsid w:val="1CC44B96"/>
    <w:multiLevelType w:val="multilevel"/>
    <w:tmpl w:val="1CC44B96"/>
    <w:lvl w:ilvl="0" w:tentative="0">
      <w:start w:val="1"/>
      <w:numFmt w:val="decimal"/>
      <w:lvlText w:val="%1."/>
      <w:lvlJc w:val="left"/>
      <w:pPr>
        <w:ind w:left="502" w:hanging="360"/>
      </w:pPr>
      <w:rPr>
        <w:rFonts w:hint="default" w:ascii="Arial" w:hAnsi="Arial" w:cs="Arial"/>
      </w:rPr>
    </w:lvl>
    <w:lvl w:ilvl="1" w:tentative="0">
      <w:start w:val="1"/>
      <w:numFmt w:val="decimal"/>
      <w:pStyle w:val="3"/>
      <w:lvlText w:val="%1.%2"/>
      <w:lvlJc w:val="left"/>
      <w:pPr>
        <w:ind w:left="907" w:hanging="907"/>
      </w:pPr>
      <w:rPr>
        <w:rFonts w:hint="default" w:ascii="Arial" w:hAnsi="Arial" w:cs="Arial"/>
        <w:b w:val="0"/>
        <w:bCs w:val="0"/>
        <w:i w:val="0"/>
        <w:iCs w:val="0"/>
        <w:caps w:val="0"/>
        <w:smallCaps w:val="0"/>
        <w:strike w:val="0"/>
        <w:dstrike w:val="0"/>
        <w:vanish w:val="0"/>
        <w:color w:val="000000"/>
        <w:spacing w:val="0"/>
        <w:kern w:val="0"/>
        <w:position w:val="0"/>
        <w:u w:val="none"/>
        <w:vertAlign w:val="baseline"/>
      </w:rPr>
    </w:lvl>
    <w:lvl w:ilvl="2" w:tentative="0">
      <w:start w:val="1"/>
      <w:numFmt w:val="decimal"/>
      <w:pStyle w:val="4"/>
      <w:lvlText w:val="%1.%2.%3"/>
      <w:lvlJc w:val="left"/>
      <w:pPr>
        <w:ind w:left="907" w:hanging="907"/>
      </w:pPr>
      <w:rPr>
        <w:rFonts w:hint="default" w:ascii="Arial" w:hAnsi="Arial" w:eastAsia="宋体" w:cs="Arial"/>
        <w:b w:val="0"/>
        <w:bCs w:val="0"/>
        <w:i w:val="0"/>
        <w:iCs w:val="0"/>
        <w:caps w:val="0"/>
        <w:smallCaps w:val="0"/>
        <w:strike w:val="0"/>
        <w:dstrike w:val="0"/>
        <w:vanish w:val="0"/>
        <w:color w:val="auto"/>
        <w:spacing w:val="0"/>
        <w:kern w:val="0"/>
        <w:position w:val="0"/>
        <w:u w:val="none"/>
        <w:vertAlign w:val="baseline"/>
      </w:rPr>
    </w:lvl>
    <w:lvl w:ilvl="3" w:tentative="0">
      <w:start w:val="1"/>
      <w:numFmt w:val="decimal"/>
      <w:lvlText w:val="%1.%2.%3.%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lvlText w:val="%1.%2.%3.%4.%5.%6"/>
      <w:lvlJc w:val="left"/>
      <w:pPr>
        <w:ind w:left="1152" w:hanging="1152"/>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4" w:hanging="1584"/>
      </w:pPr>
      <w:rPr>
        <w:rFonts w:hint="default"/>
      </w:rPr>
    </w:lvl>
  </w:abstractNum>
  <w:abstractNum w:abstractNumId="31">
    <w:nsid w:val="1E16441C"/>
    <w:multiLevelType w:val="multilevel"/>
    <w:tmpl w:val="1E16441C"/>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32">
    <w:nsid w:val="34D78BCF"/>
    <w:multiLevelType w:val="multilevel"/>
    <w:tmpl w:val="34D78BCF"/>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33">
    <w:nsid w:val="3DBA3954"/>
    <w:multiLevelType w:val="multilevel"/>
    <w:tmpl w:val="3DBA3954"/>
    <w:lvl w:ilvl="0" w:tentative="0">
      <w:start w:val="5"/>
      <w:numFmt w:val="decimal"/>
      <w:lvlText w:val="%1"/>
      <w:lvlJc w:val="left"/>
      <w:pPr>
        <w:ind w:left="360" w:hanging="360"/>
      </w:pPr>
      <w:rPr>
        <w:rFonts w:hint="default"/>
      </w:rPr>
    </w:lvl>
    <w:lvl w:ilvl="1" w:tentative="0">
      <w:start w:val="1"/>
      <w:numFmt w:val="decimal"/>
      <w:lvlText w:val="%1.%2"/>
      <w:lvlJc w:val="left"/>
      <w:pPr>
        <w:ind w:left="360" w:hanging="36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1800" w:hanging="1800"/>
      </w:pPr>
      <w:rPr>
        <w:rFonts w:hint="default"/>
      </w:rPr>
    </w:lvl>
    <w:lvl w:ilvl="8" w:tentative="0">
      <w:start w:val="1"/>
      <w:numFmt w:val="decimal"/>
      <w:lvlText w:val="%1.%2.%3.%4.%5.%6.%7.%8.%9"/>
      <w:lvlJc w:val="left"/>
      <w:pPr>
        <w:ind w:left="2160" w:hanging="2160"/>
      </w:pPr>
      <w:rPr>
        <w:rFonts w:hint="default"/>
      </w:rPr>
    </w:lvl>
  </w:abstractNum>
  <w:abstractNum w:abstractNumId="34">
    <w:nsid w:val="494A37B9"/>
    <w:multiLevelType w:val="multilevel"/>
    <w:tmpl w:val="494A37B9"/>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35">
    <w:nsid w:val="4A3D4C30"/>
    <w:multiLevelType w:val="multilevel"/>
    <w:tmpl w:val="4A3D4C30"/>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36">
    <w:nsid w:val="585F7D90"/>
    <w:multiLevelType w:val="multilevel"/>
    <w:tmpl w:val="585F7D90"/>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7">
    <w:nsid w:val="592FC292"/>
    <w:multiLevelType w:val="singleLevel"/>
    <w:tmpl w:val="592FC292"/>
    <w:lvl w:ilvl="0" w:tentative="0">
      <w:start w:val="1"/>
      <w:numFmt w:val="chineseCounting"/>
      <w:suff w:val="nothing"/>
      <w:lvlText w:val="%1、"/>
      <w:lvlJc w:val="left"/>
    </w:lvl>
  </w:abstractNum>
  <w:abstractNum w:abstractNumId="38">
    <w:nsid w:val="5EE412D2"/>
    <w:multiLevelType w:val="multilevel"/>
    <w:tmpl w:val="5EE412D2"/>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39">
    <w:nsid w:val="73C78CA8"/>
    <w:multiLevelType w:val="singleLevel"/>
    <w:tmpl w:val="73C78CA8"/>
    <w:lvl w:ilvl="0" w:tentative="0">
      <w:start w:val="1"/>
      <w:numFmt w:val="decimal"/>
      <w:lvlText w:val="%1)"/>
      <w:lvlJc w:val="left"/>
      <w:pPr>
        <w:ind w:left="425" w:hanging="425"/>
      </w:pPr>
      <w:rPr>
        <w:rFonts w:hint="default"/>
      </w:rPr>
    </w:lvl>
  </w:abstractNum>
  <w:abstractNum w:abstractNumId="40">
    <w:nsid w:val="7490237D"/>
    <w:multiLevelType w:val="multilevel"/>
    <w:tmpl w:val="7490237D"/>
    <w:lvl w:ilvl="0" w:tentative="0">
      <w:start w:val="1"/>
      <w:numFmt w:val="decimal"/>
      <w:lvlText w:val="%1)"/>
      <w:lvlJc w:val="left"/>
      <w:pPr>
        <w:ind w:left="0" w:firstLine="0"/>
      </w:pPr>
      <w:rPr>
        <w:rFonts w:hint="default" w:cs="Arial"/>
        <w:b w:val="0"/>
      </w:rPr>
    </w:lvl>
    <w:lvl w:ilvl="1" w:tentative="0">
      <w:start w:val="1"/>
      <w:numFmt w:val="decimal"/>
      <w:lvlText w:val="%2）"/>
      <w:lvlJc w:val="left"/>
      <w:pPr>
        <w:ind w:left="649" w:hanging="360"/>
      </w:pPr>
      <w:rPr>
        <w:rFonts w:hint="default"/>
      </w:rPr>
    </w:lvl>
    <w:lvl w:ilvl="2" w:tentative="0">
      <w:start w:val="1"/>
      <w:numFmt w:val="lowerRoman"/>
      <w:lvlText w:val="%3."/>
      <w:lvlJc w:val="right"/>
      <w:pPr>
        <w:ind w:left="1129" w:hanging="420"/>
      </w:pPr>
    </w:lvl>
    <w:lvl w:ilvl="3" w:tentative="0">
      <w:start w:val="1"/>
      <w:numFmt w:val="decimal"/>
      <w:lvlText w:val="%4."/>
      <w:lvlJc w:val="left"/>
      <w:pPr>
        <w:ind w:left="1549" w:hanging="420"/>
      </w:pPr>
    </w:lvl>
    <w:lvl w:ilvl="4" w:tentative="0">
      <w:start w:val="1"/>
      <w:numFmt w:val="lowerLetter"/>
      <w:lvlText w:val="%5)"/>
      <w:lvlJc w:val="left"/>
      <w:pPr>
        <w:ind w:left="1969" w:hanging="420"/>
      </w:pPr>
    </w:lvl>
    <w:lvl w:ilvl="5" w:tentative="0">
      <w:start w:val="1"/>
      <w:numFmt w:val="lowerRoman"/>
      <w:lvlText w:val="%6."/>
      <w:lvlJc w:val="right"/>
      <w:pPr>
        <w:ind w:left="2389" w:hanging="420"/>
      </w:pPr>
    </w:lvl>
    <w:lvl w:ilvl="6" w:tentative="0">
      <w:start w:val="1"/>
      <w:numFmt w:val="decimal"/>
      <w:lvlText w:val="%7."/>
      <w:lvlJc w:val="left"/>
      <w:pPr>
        <w:ind w:left="2809" w:hanging="420"/>
      </w:pPr>
    </w:lvl>
    <w:lvl w:ilvl="7" w:tentative="0">
      <w:start w:val="1"/>
      <w:numFmt w:val="lowerLetter"/>
      <w:lvlText w:val="%8)"/>
      <w:lvlJc w:val="left"/>
      <w:pPr>
        <w:ind w:left="3229" w:hanging="420"/>
      </w:pPr>
    </w:lvl>
    <w:lvl w:ilvl="8" w:tentative="0">
      <w:start w:val="1"/>
      <w:numFmt w:val="lowerRoman"/>
      <w:lvlText w:val="%9."/>
      <w:lvlJc w:val="right"/>
      <w:pPr>
        <w:ind w:left="3649" w:hanging="420"/>
      </w:pPr>
    </w:lvl>
  </w:abstractNum>
  <w:abstractNum w:abstractNumId="41">
    <w:nsid w:val="7AF25660"/>
    <w:multiLevelType w:val="multilevel"/>
    <w:tmpl w:val="7AF25660"/>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42">
    <w:nsid w:val="7BB4E380"/>
    <w:multiLevelType w:val="multilevel"/>
    <w:tmpl w:val="7BB4E380"/>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num w:numId="1">
    <w:abstractNumId w:val="30"/>
  </w:num>
  <w:num w:numId="2">
    <w:abstractNumId w:val="38"/>
  </w:num>
  <w:num w:numId="3">
    <w:abstractNumId w:val="8"/>
  </w:num>
  <w:num w:numId="4">
    <w:abstractNumId w:val="7"/>
  </w:num>
  <w:num w:numId="5">
    <w:abstractNumId w:val="32"/>
  </w:num>
  <w:num w:numId="6">
    <w:abstractNumId w:val="15"/>
  </w:num>
  <w:num w:numId="7">
    <w:abstractNumId w:val="10"/>
  </w:num>
  <w:num w:numId="8">
    <w:abstractNumId w:val="4"/>
  </w:num>
  <w:num w:numId="9">
    <w:abstractNumId w:val="33"/>
  </w:num>
  <w:num w:numId="10">
    <w:abstractNumId w:val="3"/>
  </w:num>
  <w:num w:numId="11">
    <w:abstractNumId w:val="42"/>
  </w:num>
  <w:num w:numId="12">
    <w:abstractNumId w:val="25"/>
  </w:num>
  <w:num w:numId="13">
    <w:abstractNumId w:val="6"/>
  </w:num>
  <w:num w:numId="14">
    <w:abstractNumId w:val="40"/>
  </w:num>
  <w:num w:numId="15">
    <w:abstractNumId w:val="29"/>
  </w:num>
  <w:num w:numId="16">
    <w:abstractNumId w:val="5"/>
  </w:num>
  <w:num w:numId="17">
    <w:abstractNumId w:val="28"/>
  </w:num>
  <w:num w:numId="18">
    <w:abstractNumId w:val="0"/>
  </w:num>
  <w:num w:numId="19">
    <w:abstractNumId w:val="9"/>
  </w:num>
  <w:num w:numId="20">
    <w:abstractNumId w:val="34"/>
  </w:num>
  <w:num w:numId="21">
    <w:abstractNumId w:val="41"/>
  </w:num>
  <w:num w:numId="22">
    <w:abstractNumId w:val="31"/>
  </w:num>
  <w:num w:numId="23">
    <w:abstractNumId w:val="13"/>
  </w:num>
  <w:num w:numId="24">
    <w:abstractNumId w:val="14"/>
  </w:num>
  <w:num w:numId="25">
    <w:abstractNumId w:val="16"/>
  </w:num>
  <w:num w:numId="26">
    <w:abstractNumId w:val="11"/>
  </w:num>
  <w:num w:numId="27">
    <w:abstractNumId w:val="1"/>
  </w:num>
  <w:num w:numId="28">
    <w:abstractNumId w:val="39"/>
  </w:num>
  <w:num w:numId="29">
    <w:abstractNumId w:val="24"/>
  </w:num>
  <w:num w:numId="30">
    <w:abstractNumId w:val="37"/>
  </w:num>
  <w:num w:numId="31">
    <w:abstractNumId w:val="36"/>
  </w:num>
  <w:num w:numId="32">
    <w:abstractNumId w:val="21"/>
  </w:num>
  <w:num w:numId="33">
    <w:abstractNumId w:val="18"/>
  </w:num>
  <w:num w:numId="34">
    <w:abstractNumId w:val="19"/>
  </w:num>
  <w:num w:numId="35">
    <w:abstractNumId w:val="20"/>
  </w:num>
  <w:num w:numId="36">
    <w:abstractNumId w:val="22"/>
  </w:num>
  <w:num w:numId="37">
    <w:abstractNumId w:val="23"/>
  </w:num>
  <w:num w:numId="38">
    <w:abstractNumId w:val="17"/>
  </w:num>
  <w:num w:numId="39">
    <w:abstractNumId w:val="2"/>
  </w:num>
  <w:num w:numId="40">
    <w:abstractNumId w:val="26"/>
  </w:num>
  <w:num w:numId="41">
    <w:abstractNumId w:val="27"/>
  </w:num>
  <w:num w:numId="42">
    <w:abstractNumId w:val="35"/>
  </w:num>
  <w:num w:numId="4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embedTrueTypeFonts/>
  <w:bordersDoNotSurroundHeader w:val="1"/>
  <w:bordersDoNotSurroundFooter w:val="1"/>
  <w:hideSpellingErrors/>
  <w:documentProtection w:enforcement="0"/>
  <w:defaultTabStop w:val="4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A0NDBjZWVhMWZhMDYxYmM4NmNlYzNhYWJjNDVmYjcifQ=="/>
  </w:docVars>
  <w:rsids>
    <w:rsidRoot w:val="00B87786"/>
    <w:rsid w:val="0003653F"/>
    <w:rsid w:val="00046565"/>
    <w:rsid w:val="000825ED"/>
    <w:rsid w:val="001050C2"/>
    <w:rsid w:val="001138BE"/>
    <w:rsid w:val="00115DA6"/>
    <w:rsid w:val="00161EC6"/>
    <w:rsid w:val="001976FB"/>
    <w:rsid w:val="001A5AEE"/>
    <w:rsid w:val="00231932"/>
    <w:rsid w:val="0024363B"/>
    <w:rsid w:val="00253CBF"/>
    <w:rsid w:val="00270E24"/>
    <w:rsid w:val="0028767C"/>
    <w:rsid w:val="00294EF2"/>
    <w:rsid w:val="002C6BE2"/>
    <w:rsid w:val="002E7C99"/>
    <w:rsid w:val="0030579E"/>
    <w:rsid w:val="0033045B"/>
    <w:rsid w:val="00336A26"/>
    <w:rsid w:val="003663FC"/>
    <w:rsid w:val="003755D9"/>
    <w:rsid w:val="003C45A8"/>
    <w:rsid w:val="004014CA"/>
    <w:rsid w:val="0041456D"/>
    <w:rsid w:val="0049435B"/>
    <w:rsid w:val="004A691C"/>
    <w:rsid w:val="004F69A9"/>
    <w:rsid w:val="00566713"/>
    <w:rsid w:val="00580C54"/>
    <w:rsid w:val="005862FD"/>
    <w:rsid w:val="005C2D9A"/>
    <w:rsid w:val="005E1C16"/>
    <w:rsid w:val="00604E51"/>
    <w:rsid w:val="0060788F"/>
    <w:rsid w:val="006129FE"/>
    <w:rsid w:val="00653771"/>
    <w:rsid w:val="006541C7"/>
    <w:rsid w:val="006748C2"/>
    <w:rsid w:val="006818F8"/>
    <w:rsid w:val="006878FB"/>
    <w:rsid w:val="00693C37"/>
    <w:rsid w:val="006A25E0"/>
    <w:rsid w:val="006D28CA"/>
    <w:rsid w:val="006D2FED"/>
    <w:rsid w:val="006F227C"/>
    <w:rsid w:val="007347E5"/>
    <w:rsid w:val="007F080E"/>
    <w:rsid w:val="0083144A"/>
    <w:rsid w:val="008338EA"/>
    <w:rsid w:val="008626B9"/>
    <w:rsid w:val="008678E9"/>
    <w:rsid w:val="008B5071"/>
    <w:rsid w:val="008C4C3F"/>
    <w:rsid w:val="00910A6D"/>
    <w:rsid w:val="00930F82"/>
    <w:rsid w:val="00962B6C"/>
    <w:rsid w:val="009E05E6"/>
    <w:rsid w:val="009E6675"/>
    <w:rsid w:val="00A06AF4"/>
    <w:rsid w:val="00A165D2"/>
    <w:rsid w:val="00A35D49"/>
    <w:rsid w:val="00A60826"/>
    <w:rsid w:val="00A96B87"/>
    <w:rsid w:val="00AB3CAE"/>
    <w:rsid w:val="00AC131B"/>
    <w:rsid w:val="00AD704E"/>
    <w:rsid w:val="00AE302F"/>
    <w:rsid w:val="00AE4CAE"/>
    <w:rsid w:val="00B26C69"/>
    <w:rsid w:val="00B307E3"/>
    <w:rsid w:val="00B4356F"/>
    <w:rsid w:val="00B570D1"/>
    <w:rsid w:val="00B87786"/>
    <w:rsid w:val="00BA1CC7"/>
    <w:rsid w:val="00C12FB5"/>
    <w:rsid w:val="00C54309"/>
    <w:rsid w:val="00C70DDE"/>
    <w:rsid w:val="00CB7347"/>
    <w:rsid w:val="00CC10F8"/>
    <w:rsid w:val="00CE4222"/>
    <w:rsid w:val="00CE4921"/>
    <w:rsid w:val="00D65F5C"/>
    <w:rsid w:val="00D70F54"/>
    <w:rsid w:val="00DB50DB"/>
    <w:rsid w:val="00DC2A8F"/>
    <w:rsid w:val="00DE01ED"/>
    <w:rsid w:val="00DE4665"/>
    <w:rsid w:val="00DF1A81"/>
    <w:rsid w:val="00DF506E"/>
    <w:rsid w:val="00E17BE3"/>
    <w:rsid w:val="00E558D1"/>
    <w:rsid w:val="00E753F6"/>
    <w:rsid w:val="00F04028"/>
    <w:rsid w:val="00F0682A"/>
    <w:rsid w:val="00F12B2C"/>
    <w:rsid w:val="00F26047"/>
    <w:rsid w:val="00F63581"/>
    <w:rsid w:val="00F83695"/>
    <w:rsid w:val="00F8712F"/>
    <w:rsid w:val="00F902EB"/>
    <w:rsid w:val="00FA09F9"/>
    <w:rsid w:val="00FC0E33"/>
    <w:rsid w:val="04851924"/>
    <w:rsid w:val="0516122C"/>
    <w:rsid w:val="09DF2CCA"/>
    <w:rsid w:val="0A12433E"/>
    <w:rsid w:val="10E83428"/>
    <w:rsid w:val="13797F4D"/>
    <w:rsid w:val="17460162"/>
    <w:rsid w:val="1A4354A3"/>
    <w:rsid w:val="1BAF48D6"/>
    <w:rsid w:val="1C707371"/>
    <w:rsid w:val="1F6F75BC"/>
    <w:rsid w:val="20F5407C"/>
    <w:rsid w:val="236334AA"/>
    <w:rsid w:val="243D75AA"/>
    <w:rsid w:val="25A376CC"/>
    <w:rsid w:val="2961043E"/>
    <w:rsid w:val="299367E6"/>
    <w:rsid w:val="2B8E395E"/>
    <w:rsid w:val="362E3061"/>
    <w:rsid w:val="39413397"/>
    <w:rsid w:val="39B031ED"/>
    <w:rsid w:val="3C910DF5"/>
    <w:rsid w:val="407D2FAA"/>
    <w:rsid w:val="4590212C"/>
    <w:rsid w:val="4F2D61C7"/>
    <w:rsid w:val="4FCE3671"/>
    <w:rsid w:val="547F74BE"/>
    <w:rsid w:val="5AC93746"/>
    <w:rsid w:val="627F492A"/>
    <w:rsid w:val="679047E3"/>
    <w:rsid w:val="68BA55CC"/>
    <w:rsid w:val="722D3EE3"/>
    <w:rsid w:val="7EAD566F"/>
    <w:rsid w:val="7EC158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39" w:semiHidden="0" w:name="toc 1"/>
    <w:lsdException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iPriority="99"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topLinePunct/>
      <w:spacing w:line="480" w:lineRule="auto"/>
      <w:ind w:firstLine="420"/>
      <w:textAlignment w:val="baseline"/>
      <w:outlineLvl w:val="0"/>
    </w:pPr>
    <w:rPr>
      <w:rFonts w:ascii="汉仪大宋简" w:eastAsia="汉仪大宋简"/>
      <w:kern w:val="28"/>
      <w:sz w:val="22"/>
      <w:szCs w:val="26"/>
    </w:rPr>
  </w:style>
  <w:style w:type="paragraph" w:styleId="3">
    <w:name w:val="heading 2"/>
    <w:basedOn w:val="1"/>
    <w:next w:val="1"/>
    <w:qFormat/>
    <w:uiPriority w:val="0"/>
    <w:pPr>
      <w:numPr>
        <w:ilvl w:val="1"/>
        <w:numId w:val="1"/>
      </w:numPr>
      <w:outlineLvl w:val="1"/>
    </w:pPr>
    <w:rPr>
      <w:bCs/>
      <w:color w:val="000000"/>
      <w:szCs w:val="26"/>
    </w:rPr>
  </w:style>
  <w:style w:type="paragraph" w:styleId="4">
    <w:name w:val="heading 3"/>
    <w:basedOn w:val="1"/>
    <w:next w:val="1"/>
    <w:qFormat/>
    <w:uiPriority w:val="0"/>
    <w:pPr>
      <w:keepNext/>
      <w:keepLines/>
      <w:numPr>
        <w:ilvl w:val="2"/>
        <w:numId w:val="1"/>
      </w:numPr>
      <w:ind w:left="1049"/>
      <w:outlineLvl w:val="2"/>
    </w:pPr>
    <w:rPr>
      <w:bCs/>
    </w:rPr>
  </w:style>
  <w:style w:type="character" w:default="1" w:styleId="16">
    <w:name w:val="Default Paragraph Font"/>
    <w:semiHidden/>
    <w:uiPriority w:val="0"/>
  </w:style>
  <w:style w:type="table" w:default="1" w:styleId="15">
    <w:name w:val="Normal Table"/>
    <w:semiHidden/>
    <w:qFormat/>
    <w:uiPriority w:val="0"/>
    <w:tblPr>
      <w:tblCellMar>
        <w:top w:w="0" w:type="dxa"/>
        <w:left w:w="108" w:type="dxa"/>
        <w:bottom w:w="0" w:type="dxa"/>
        <w:right w:w="108" w:type="dxa"/>
      </w:tblCellMar>
    </w:tblPr>
  </w:style>
  <w:style w:type="paragraph" w:styleId="5">
    <w:name w:val="annotation text"/>
    <w:basedOn w:val="1"/>
    <w:link w:val="20"/>
    <w:uiPriority w:val="0"/>
    <w:pPr>
      <w:jc w:val="left"/>
    </w:pPr>
    <w:rPr>
      <w:lang w:val="zh-CN" w:eastAsia="zh-CN"/>
    </w:rPr>
  </w:style>
  <w:style w:type="paragraph" w:styleId="6">
    <w:name w:val="Body Text"/>
    <w:basedOn w:val="1"/>
    <w:unhideWhenUsed/>
    <w:qFormat/>
    <w:uiPriority w:val="99"/>
    <w:pPr>
      <w:spacing w:after="120"/>
    </w:pPr>
  </w:style>
  <w:style w:type="paragraph" w:styleId="7">
    <w:name w:val="Plain Text"/>
    <w:basedOn w:val="1"/>
    <w:qFormat/>
    <w:uiPriority w:val="0"/>
    <w:rPr>
      <w:rFonts w:ascii="宋体" w:hAnsi="Courier New" w:cs="Courier New"/>
      <w:szCs w:val="21"/>
    </w:rPr>
  </w:style>
  <w:style w:type="paragraph" w:styleId="8">
    <w:name w:val="Date"/>
    <w:basedOn w:val="1"/>
    <w:next w:val="1"/>
    <w:link w:val="36"/>
    <w:qFormat/>
    <w:uiPriority w:val="0"/>
    <w:pPr>
      <w:ind w:left="100" w:leftChars="2500"/>
    </w:pPr>
    <w:rPr>
      <w:szCs w:val="20"/>
    </w:rPr>
  </w:style>
  <w:style w:type="paragraph" w:styleId="9">
    <w:name w:val="footer"/>
    <w:basedOn w:val="1"/>
    <w:qFormat/>
    <w:uiPriority w:val="99"/>
    <w:pPr>
      <w:tabs>
        <w:tab w:val="center" w:pos="4153"/>
        <w:tab w:val="right" w:pos="8306"/>
      </w:tabs>
      <w:snapToGrid w:val="0"/>
      <w:jc w:val="left"/>
    </w:pPr>
    <w:rPr>
      <w:sz w:val="18"/>
      <w:szCs w:val="18"/>
    </w:rPr>
  </w:style>
  <w:style w:type="paragraph" w:styleId="10">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1">
    <w:name w:val="toc 1"/>
    <w:basedOn w:val="1"/>
    <w:next w:val="1"/>
    <w:uiPriority w:val="39"/>
  </w:style>
  <w:style w:type="paragraph" w:styleId="12">
    <w:name w:val="toc 2"/>
    <w:basedOn w:val="1"/>
    <w:next w:val="1"/>
    <w:uiPriority w:val="39"/>
    <w:pPr>
      <w:ind w:left="420" w:leftChars="200"/>
    </w:pPr>
  </w:style>
  <w:style w:type="paragraph" w:styleId="13">
    <w:name w:val="annotation subject"/>
    <w:basedOn w:val="5"/>
    <w:next w:val="5"/>
    <w:link w:val="21"/>
    <w:uiPriority w:val="0"/>
    <w:rPr>
      <w:b/>
      <w:bCs/>
    </w:rPr>
  </w:style>
  <w:style w:type="paragraph" w:styleId="14">
    <w:name w:val="Body Text First Indent"/>
    <w:basedOn w:val="6"/>
    <w:qFormat/>
    <w:uiPriority w:val="0"/>
    <w:pPr>
      <w:ind w:firstLine="210"/>
    </w:pPr>
    <w:rPr>
      <w:sz w:val="28"/>
      <w:szCs w:val="20"/>
    </w:rPr>
  </w:style>
  <w:style w:type="character" w:styleId="17">
    <w:name w:val="Strong"/>
    <w:qFormat/>
    <w:uiPriority w:val="22"/>
    <w:rPr>
      <w:b/>
      <w:bCs/>
    </w:rPr>
  </w:style>
  <w:style w:type="character" w:styleId="18">
    <w:name w:val="Hyperlink"/>
    <w:unhideWhenUsed/>
    <w:uiPriority w:val="99"/>
    <w:rPr>
      <w:color w:val="0563C1"/>
      <w:u w:val="single"/>
    </w:rPr>
  </w:style>
  <w:style w:type="character" w:styleId="19">
    <w:name w:val="annotation reference"/>
    <w:qFormat/>
    <w:uiPriority w:val="0"/>
    <w:rPr>
      <w:sz w:val="21"/>
      <w:szCs w:val="21"/>
    </w:rPr>
  </w:style>
  <w:style w:type="character" w:customStyle="1" w:styleId="20">
    <w:name w:val="批注文字 Char"/>
    <w:link w:val="5"/>
    <w:uiPriority w:val="0"/>
    <w:rPr>
      <w:rFonts w:ascii="Times New Roman" w:hAnsi="Times New Roman"/>
      <w:kern w:val="2"/>
      <w:sz w:val="21"/>
      <w:szCs w:val="24"/>
    </w:rPr>
  </w:style>
  <w:style w:type="character" w:customStyle="1" w:styleId="21">
    <w:name w:val="批注主题 Char"/>
    <w:link w:val="13"/>
    <w:uiPriority w:val="0"/>
    <w:rPr>
      <w:rFonts w:ascii="Times New Roman" w:hAnsi="Times New Roman"/>
      <w:b/>
      <w:bCs/>
      <w:kern w:val="2"/>
      <w:sz w:val="21"/>
      <w:szCs w:val="24"/>
    </w:rPr>
  </w:style>
  <w:style w:type="paragraph" w:customStyle="1" w:styleId="22">
    <w:name w:val="3z"/>
    <w:basedOn w:val="23"/>
    <w:qFormat/>
    <w:uiPriority w:val="0"/>
    <w:pPr>
      <w:topLinePunct/>
    </w:pPr>
    <w:rPr>
      <w:kern w:val="2"/>
    </w:rPr>
  </w:style>
  <w:style w:type="paragraph" w:customStyle="1" w:styleId="23">
    <w:name w:val="附录二"/>
    <w:basedOn w:val="7"/>
    <w:qFormat/>
    <w:uiPriority w:val="0"/>
    <w:pPr>
      <w:spacing w:line="312" w:lineRule="exact"/>
    </w:pPr>
    <w:rPr>
      <w:rFonts w:ascii="EU-F1" w:eastAsia="黑体"/>
      <w:kern w:val="21"/>
    </w:rPr>
  </w:style>
  <w:style w:type="paragraph" w:customStyle="1" w:styleId="24">
    <w:name w:val="2z"/>
    <w:basedOn w:val="23"/>
    <w:qFormat/>
    <w:uiPriority w:val="0"/>
    <w:pPr>
      <w:topLinePunct/>
      <w:spacing w:line="480" w:lineRule="auto"/>
    </w:pPr>
  </w:style>
  <w:style w:type="paragraph" w:customStyle="1" w:styleId="25">
    <w:name w:val="B"/>
    <w:basedOn w:val="26"/>
    <w:qFormat/>
    <w:uiPriority w:val="0"/>
    <w:pPr>
      <w:tabs>
        <w:tab w:val="center" w:pos="4706"/>
        <w:tab w:val="right" w:pos="9044"/>
      </w:tabs>
      <w:spacing w:line="312" w:lineRule="exact"/>
    </w:pPr>
    <w:rPr>
      <w:rFonts w:ascii="E-F1"/>
    </w:rPr>
  </w:style>
  <w:style w:type="paragraph" w:customStyle="1" w:styleId="26">
    <w:name w:val="表头"/>
    <w:basedOn w:val="1"/>
    <w:qFormat/>
    <w:uiPriority w:val="0"/>
    <w:pPr>
      <w:topLinePunct/>
      <w:spacing w:before="160" w:after="60"/>
      <w:jc w:val="center"/>
    </w:pPr>
    <w:rPr>
      <w:rFonts w:eastAsia="黑体"/>
      <w:szCs w:val="21"/>
    </w:rPr>
  </w:style>
  <w:style w:type="character" w:customStyle="1" w:styleId="27">
    <w:name w:val="zt Char Char"/>
    <w:link w:val="28"/>
    <w:qFormat/>
    <w:uiPriority w:val="0"/>
    <w:rPr>
      <w:rFonts w:ascii="EU-F1" w:eastAsia="EU-F1"/>
      <w:bCs/>
      <w:kern w:val="2"/>
      <w:sz w:val="21"/>
      <w:szCs w:val="21"/>
      <w:lang w:val="en-US" w:eastAsia="zh-CN" w:bidi="ar-SA"/>
    </w:rPr>
  </w:style>
  <w:style w:type="paragraph" w:customStyle="1" w:styleId="28">
    <w:name w:val="zt"/>
    <w:basedOn w:val="1"/>
    <w:link w:val="27"/>
    <w:qFormat/>
    <w:uiPriority w:val="0"/>
    <w:pPr>
      <w:overflowPunct w:val="0"/>
      <w:topLinePunct/>
      <w:snapToGrid w:val="0"/>
      <w:spacing w:line="312" w:lineRule="exact"/>
    </w:pPr>
    <w:rPr>
      <w:rFonts w:ascii="EU-F1" w:hAnsi="Calibri" w:eastAsia="EU-F1"/>
      <w:bCs/>
      <w:szCs w:val="21"/>
    </w:rPr>
  </w:style>
  <w:style w:type="paragraph" w:customStyle="1" w:styleId="29">
    <w:name w:val="Balloon Text1"/>
    <w:basedOn w:val="1"/>
    <w:qFormat/>
    <w:uiPriority w:val="0"/>
    <w:pPr>
      <w:ind w:firstLine="200" w:firstLineChars="200"/>
    </w:pPr>
    <w:rPr>
      <w:sz w:val="18"/>
    </w:rPr>
  </w:style>
  <w:style w:type="paragraph" w:customStyle="1" w:styleId="30">
    <w:name w:val="自控1"/>
    <w:basedOn w:val="1"/>
    <w:qFormat/>
    <w:uiPriority w:val="0"/>
    <w:pPr>
      <w:tabs>
        <w:tab w:val="left" w:pos="907"/>
      </w:tabs>
      <w:topLinePunct/>
      <w:spacing w:line="312" w:lineRule="exact"/>
      <w:ind w:left="908" w:hanging="488"/>
    </w:pPr>
    <w:rPr>
      <w:rFonts w:hint="eastAsia"/>
    </w:rPr>
  </w:style>
  <w:style w:type="paragraph" w:customStyle="1" w:styleId="31">
    <w:name w:val="样式 正文"/>
    <w:basedOn w:val="14"/>
    <w:qFormat/>
    <w:uiPriority w:val="0"/>
    <w:pPr>
      <w:adjustRightInd w:val="0"/>
      <w:spacing w:after="0" w:line="360" w:lineRule="auto"/>
      <w:ind w:firstLine="200" w:firstLineChars="200"/>
      <w:textAlignment w:val="baseline"/>
    </w:pPr>
    <w:rPr>
      <w:rFonts w:eastAsia="仿宋"/>
      <w:sz w:val="24"/>
    </w:rPr>
  </w:style>
  <w:style w:type="character" w:customStyle="1" w:styleId="32">
    <w:name w:val="font01"/>
    <w:qFormat/>
    <w:uiPriority w:val="0"/>
    <w:rPr>
      <w:rFonts w:hint="eastAsia" w:ascii="宋体" w:hAnsi="宋体" w:eastAsia="宋体" w:cs="宋体"/>
      <w:color w:val="000000"/>
      <w:sz w:val="22"/>
      <w:szCs w:val="22"/>
      <w:u w:val="none"/>
    </w:rPr>
  </w:style>
  <w:style w:type="character" w:customStyle="1" w:styleId="33">
    <w:name w:val="font11"/>
    <w:qFormat/>
    <w:uiPriority w:val="0"/>
    <w:rPr>
      <w:rFonts w:hint="eastAsia" w:ascii="宋体" w:hAnsi="宋体" w:eastAsia="宋体" w:cs="宋体"/>
      <w:color w:val="000000"/>
      <w:sz w:val="22"/>
      <w:szCs w:val="22"/>
      <w:u w:val="none"/>
      <w:vertAlign w:val="superscript"/>
    </w:rPr>
  </w:style>
  <w:style w:type="character" w:customStyle="1" w:styleId="34">
    <w:name w:val="批注框文本 Char"/>
    <w:uiPriority w:val="0"/>
    <w:rPr>
      <w:rFonts w:ascii="Times New Roman" w:hAnsi="Times New Roman"/>
      <w:kern w:val="2"/>
      <w:sz w:val="18"/>
      <w:szCs w:val="18"/>
    </w:rPr>
  </w:style>
  <w:style w:type="paragraph" w:customStyle="1" w:styleId="35">
    <w:name w:val="正文 A"/>
    <w:qFormat/>
    <w:uiPriority w:val="0"/>
    <w:pPr>
      <w:widowControl w:val="0"/>
      <w:jc w:val="both"/>
    </w:pPr>
    <w:rPr>
      <w:rFonts w:ascii="Times New Roman" w:hAnsi="Times New Roman" w:eastAsia="ヒラギノ角ゴ Pro W3" w:cs="Times New Roman"/>
      <w:color w:val="000000"/>
      <w:sz w:val="21"/>
      <w:szCs w:val="22"/>
      <w:lang w:val="en-US" w:eastAsia="zh-CN" w:bidi="ar-SA"/>
    </w:rPr>
  </w:style>
  <w:style w:type="character" w:customStyle="1" w:styleId="36">
    <w:name w:val="日期 字符"/>
    <w:link w:val="8"/>
    <w:uiPriority w:val="0"/>
    <w:rPr>
      <w:rFonts w:ascii="Times New Roman" w:hAnsi="Times New Roman"/>
      <w:kern w:val="2"/>
      <w:sz w:val="21"/>
    </w:rPr>
  </w:style>
  <w:style w:type="paragraph" w:customStyle="1" w:styleId="37">
    <w:name w:val="段"/>
    <w:uiPriority w:val="0"/>
    <w:pPr>
      <w:ind w:firstLine="200" w:firstLineChars="200"/>
      <w:jc w:val="both"/>
    </w:pPr>
    <w:rPr>
      <w:rFonts w:ascii="宋体" w:hAnsi="Times New Roman" w:eastAsia="宋体" w:cs="Times New Roman"/>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2.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E8600E0-3757-43D9-9E1A-A38ADA1C0A40}">
  <ds:schemaRefs/>
</ds:datastoreItem>
</file>

<file path=docProps/app.xml><?xml version="1.0" encoding="utf-8"?>
<Properties xmlns="http://schemas.openxmlformats.org/officeDocument/2006/extended-properties" xmlns:vt="http://schemas.openxmlformats.org/officeDocument/2006/docPropsVTypes">
  <Template>Normal</Template>
  <Pages>75</Pages>
  <Words>39660</Words>
  <Characters>46779</Characters>
  <Lines>378</Lines>
  <Paragraphs>106</Paragraphs>
  <TotalTime>38</TotalTime>
  <ScaleCrop>false</ScaleCrop>
  <LinksUpToDate>false</LinksUpToDate>
  <CharactersWithSpaces>48324</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2023-01-16T00:01:00Z</dcterms:created>
  <dc:creator>CGB</dc:creator>
  <cp:lastModifiedBy>L</cp:lastModifiedBy>
  <dcterms:modified xsi:type="dcterms:W3CDTF">2023-01-18T08:18:10Z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B9C741E42E3E450F90146FB6A4D11B35</vt:lpwstr>
  </property>
</Properties>
</file>