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表</w:t>
      </w:r>
    </w:p>
    <w:p>
      <w:pPr>
        <w:spacing w:line="480" w:lineRule="exact"/>
        <w:jc w:val="center"/>
        <w:rPr>
          <w:rFonts w:hint="eastAsia" w:ascii="黑体" w:hAnsi="宋体" w:eastAsia="黑体"/>
          <w:sz w:val="32"/>
        </w:rPr>
      </w:pPr>
      <w:bookmarkStart w:id="0" w:name="_GoBack"/>
      <w:r>
        <w:rPr>
          <w:rFonts w:hint="eastAsia" w:ascii="黑体" w:hAnsi="宋体" w:eastAsia="黑体"/>
          <w:sz w:val="32"/>
          <w:lang w:eastAsia="zh-CN"/>
        </w:rPr>
        <w:t>用户开口接气</w:t>
      </w:r>
      <w:r>
        <w:rPr>
          <w:rFonts w:hint="eastAsia" w:ascii="黑体" w:hAnsi="宋体" w:eastAsia="黑体"/>
          <w:sz w:val="32"/>
        </w:rPr>
        <w:t>用气申请表</w:t>
      </w:r>
    </w:p>
    <w:bookmarkEnd w:id="0"/>
    <w:p>
      <w:pPr>
        <w:spacing w:line="48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申请单位：                    编号：           填报日期：   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818"/>
        <w:gridCol w:w="171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项目总投资</w:t>
            </w:r>
          </w:p>
        </w:tc>
        <w:tc>
          <w:tcPr>
            <w:tcW w:w="28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万元</w:t>
            </w:r>
          </w:p>
        </w:tc>
        <w:tc>
          <w:tcPr>
            <w:tcW w:w="171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企业性质</w:t>
            </w:r>
          </w:p>
        </w:tc>
        <w:tc>
          <w:tcPr>
            <w:tcW w:w="15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法定代表人</w:t>
            </w:r>
          </w:p>
        </w:tc>
        <w:tc>
          <w:tcPr>
            <w:tcW w:w="28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注册资本</w:t>
            </w:r>
          </w:p>
        </w:tc>
        <w:tc>
          <w:tcPr>
            <w:tcW w:w="15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    址</w:t>
            </w:r>
          </w:p>
        </w:tc>
        <w:tc>
          <w:tcPr>
            <w:tcW w:w="28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  编</w:t>
            </w:r>
          </w:p>
        </w:tc>
        <w:tc>
          <w:tcPr>
            <w:tcW w:w="15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</w:t>
            </w:r>
          </w:p>
        </w:tc>
        <w:tc>
          <w:tcPr>
            <w:tcW w:w="28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5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气化区域</w:t>
            </w:r>
          </w:p>
        </w:tc>
        <w:tc>
          <w:tcPr>
            <w:tcW w:w="28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用气性质</w:t>
            </w:r>
          </w:p>
        </w:tc>
        <w:tc>
          <w:tcPr>
            <w:tcW w:w="15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申请接气地点</w:t>
            </w:r>
          </w:p>
        </w:tc>
        <w:tc>
          <w:tcPr>
            <w:tcW w:w="28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计划用气时间</w:t>
            </w:r>
          </w:p>
        </w:tc>
        <w:tc>
          <w:tcPr>
            <w:tcW w:w="15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用户发展情况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用气规模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近期：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vertAlign w:val="superscript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/年；   远期：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vertAlign w:val="superscript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/年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压力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MPa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；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高峰流量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vertAlign w:val="superscript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经营管理部意见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工程研究中心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生产运行部意见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发展计划部意见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24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发展计划部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分管领导审核意见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总经理审批意见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办理结果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附注：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城市燃气用户企业在用户发展情况一栏明确发展居民、商业公服、工业、加气母站用户数及近远期年用气量；2.加气母站用户在用户发展情况一栏明确母站设计规模；3.直供工业用户在用户发展情况一栏明确设计规模、近远期用气量及利用天然气主要用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27AC1"/>
    <w:rsid w:val="4092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2020-05-06T03:27:00Z</dcterms:created>
  <dc:creator>zhangjing</dc:creator>
  <cp:lastModifiedBy>zhangjing</cp:lastModifiedBy>
  <dcterms:modified xsi:type="dcterms:W3CDTF">2020-05-06T03:27:56Z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